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39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габаритам упаковки, допустимым массе и высоте и последовательности укладки. Состав закрепляется за плановым идентификатором паллеты или ролл-кейджа независимо от конкретных ячеек SKU. Транспортный логист использует этот расчёт для назначения рейсов и формата сборки. Перед запуском волны источники уточняются по фактическому резерву и завершённому пополнению. Изменение количества или формата мест возвращается логисту для проверки загрузки до запуска затронутой сборки.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её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коробки.</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весовой коробки сканирование её весового штрихкода подтверждает фактический вес коробки.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целой коробки не подтверждает вес части её содержимого. Эти правила подтверждения комплектации не отменяют предусмотренный для собранного грузового места контроль перед передачей в экспедицию.</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Исполнитель подтверждает фактическое помещение в назначенный автомобиль, а не только сканирование в экспедиции.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допустимые массу и габариты, совместимость и устойчивость итоговой укладки. Исходные места разных подскладов объединяются только при сохранении условий обращения с товаром. Если утверждённый состав невозможно разместить в предусмотренном формате, группа экспедиции сообщает логисту фактическую причину; итоговые места и загрузка рейса уточняются с сохранением состава и прослеживаемости.</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При отборе целой коробки фактическая масса считается подтверждённой сканированием её весового штрихкода. При поштучной комплектации применяются сканирование и весовой контроль; фактическая масса набранных единиц или порций определяется на весах. Вес исходной коробки не подменяет массу отобранной части;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формат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Логист использует расчёт для загрузки автомобиля и назначения времени комплектации. Инициатором складского исполнения остаётся транспортный план.</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массу и высоту итогового места. Сумма объёмов сама по себе не подтверждает возможность укладки. Если коробка не подходит по размерам либо товар нельзя устойчиво собрать в заданном формате, WMS предусматривает другое грузовое место и возвращает результат транспортному логисту для проверки загрузки.</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Плановые проверки собранного товара создаются отдельными заданиями по настройкам контроля. Смена аудитора и готовность рейса не снимают запрет качества. Выпуск разрешается только после обязательных проверок действующего состава грузового места.</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итоговый SSCC либо допустимый внутренний идентификатор и сохраняет происхождение каждого количества из исходных мест. При полном объединении исходные места закрываются для дальнейшей погрузки с сохранением истории; при частичном переносе остаток сохраняется на исходном месте. Товар не суммируется повторно на уровнях исходного и итогового идентификаторов.</w:t>
      </w:r>
    </w:p>
    <w:p>
      <w:r>
        <w:t>Для итогового места подтверждаются состав, тара, фактическая масса весового товара и габариты, необходимые для погрузки. Перепаковка изменяет состав грузового места,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итоговое место; исходные полностью объединённые места не остаются отдельной потребностью погрузки.</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актуальный допуск и назначенный автомобиль. Закатывает тележку либо выполняет погрузку предусмотренным способом и подтверждает фактическое помещение в машину. Сканирование в зоне экспедиции до физического перемещения не является подтверждением погрузки.</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Их доступность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