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42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её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коробки.</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весовой коробки сканирование её весового штрихкода подтверждает фактический вес коробки.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целой коробки не подтверждает вес части её содержимого. Эти правила подтверждения комплектации не отменяют предусмотренный для собранного грузового места контроль перед передачей в экспедицию.</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При отборе целой коробки фактическая масса считается подтверждённой сканированием её весового штрихкода. При поштучной комплектации применяются сканирование и весовой контроль; фактическая масса набранных единиц или порций определяется на весах. Вес исходной коробки не подменяет массу отобранной части;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При суммировании исходные уровни могут отсутствовать в действующей иерархии; история источников и переносов сохраняется.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