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51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сообщает транспортному диспетчеру о задержке подвоза и ожидаемом времени его прибытия. Транспортный диспетчер определяет, сколько целевой рейс будет ждать опаздывающий подвоз. До его решения рейс ожидает физического поступления всех назначенных паллет и ролл-кейджей. Если диспетчер решает отправить готовую часть груза, он отвязывает непоступившие заказы или грузовые места и назначает рейс их дальнейшей доставки. Оставшийся груз сохраняется под его контролем до фактической отгрузки.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закатывание ролл-кейджа в магазин. Стоимость рейса складывается из отдельных ставок за автомобиль, точки доставки и выгрузку. Если завести тележку в магазин можно только с затруднениями и требуется работа грузчика, стоимость выгрузки увеличивается на нормативную стоимость этой работы. Ставки учитывают тип и размеры машины, район и условия обслуживания адреса. Биллинг транспортных и относящихся к фактически выполненному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Возврат из магазина подлежит утверждению руководителем отдела Supply Chain. Исправный товар возвращается в полной коробке; для иных возвратов допускается передача поставщику либо отдельный возврат брака для утилизации. Списание брака относится на место его выявления.</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pPr>
        <w:pStyle w:val="Heading2"/>
      </w:pPr>
      <w:r>
        <w:t>Согласование и назначение возврата</w:t>
      </w:r>
    </w:p>
    <w:p>
      <w:r>
        <w:t>Возврат товара из магазина утверждает руководитель отдела Supply Chain. В документах указываются магазин, причина возврата, товар, количество и связь с исходной поставкой. После утверждения транспортный логист включает вывоз в план рейса, определяет принимающую площадку и учитывает вместимость на обратном участке.</w:t>
      </w:r>
    </w:p>
    <w:p>
      <w:r>
        <w:t>В обычный поток возврата принимается исправный товар в полной, укомплектованной коробке. Возврат неукомплектованной коробки или бракованного товара в этот поток не допускается. Иные возвраты могут поступать на склад для последующей передачи поставщику; их назначение не предусматривает повторную отгрузку в магазины.</w:t>
      </w:r>
    </w:p>
    <w:p>
      <w:r>
        <w:t>Отдельно допускается возврат брака для последующей утилизации. Это самостоятельное основание возврата: результат утилизации отражается на счёте списаний по месту выявления брака. Перемещение брака на склад для утилизации не переносит потери на принимающий склад.</w:t>
      </w:r>
    </w:p>
    <w:p>
      <w:pPr>
        <w:pStyle w:val="Heading2"/>
      </w:pPr>
      <w:r>
        <w:t>Перевозка и приёмка на складе</w:t>
      </w:r>
    </w:p>
    <w:p>
      <w:r>
        <w:t>При перевозке соблюдаются температурный режим, сохранность товара и разделение потоков. Груз для передачи поставщику или утилизации перевозится и учитывается с соответствующим назначением.</w:t>
      </w:r>
    </w:p>
    <w:p>
      <w:r>
        <w:t>Возврат принимает группа приёмки товара. Приёмка исправного товара в полной коробке проводится по той же процедуре, что и приёмка от внешнего поставщика: сверяются документы, товар, количество, упаковка, сроки годности и предусмотренные для товара весовые данные. Фактически принятый состав подтверждается в WMS. Согласование возврата и прибытие автомобиля не заменяют приёмку товара.</w:t>
      </w:r>
    </w:p>
    <w:p>
      <w:pPr>
        <w:pStyle w:val="Heading2"/>
      </w:pPr>
      <w:r>
        <w:t>Размещение исправного возврата в отбор</w:t>
      </w:r>
    </w:p>
    <w:p>
      <w:r>
        <w:t>После подтверждённой приёмки исправная полная коробка направляется в зону отбора. Если в карточке артикула разрешено смешение партий и сроков годности в отборе, возврат можно разместить в занятой ячейке того же SKU при наличии достаточного свободного места. Если смешение отключено, для возвращённого товара выделяется отдельная ячейка отбора. По умолчанию настройка смешения отключена; включить её может начальник склада. При размещении сохраняются партия и срок годности возвращённого товара, подтверждаются фактический адрес и количество. Ячейка выбирается в допустимом для SKU диапазоне по правилам слотирования; размещение не должно превышать её вместимость.</w:t>
      </w:r>
    </w:p>
    <w:p>
      <w:r>
        <w:t>Исправный возврат учитывается как пригодный запас по подтверждённому месту размещения. Для включения в конкретную волну сохраняются общие правила доступности, стратегии расходования и резервирования. Товар, возвращённый для передачи поставщику или утилизации, к этому запасу не относится.</w:t>
      </w:r>
    </w:p>
    <w:p>
      <w:r>
        <w:t>Товар, возвращённый для передачи поставщику или утилизации, учитывается отдельно от пригодного запаса и не используется для пополнения ячеек отбора или обеспечения волн. Его дальнейшее движение соответствует утверждённому назначению возврата.</w:t>
      </w:r>
    </w:p>
    <w:p>
      <w:pPr>
        <w:pStyle w:val="Heading2"/>
      </w:pPr>
      <w:r>
        <w:t>Подтверждение в ERP и учёт брака</w:t>
      </w:r>
    </w:p>
    <w:p>
      <w:r>
        <w:t>Корректировка товарных и финансовых документов в ERP опирается на подтверждённую приёмку от магазина и фактическое размещение по назначению возврата. Исправная полная коробка размещается в зоне отбора. Возвращённый брак учитывается на площадке, обозначенной в ERP как «Склад брака магазинов». Подтверждение сохраняет связь с магазином, принятым товаром, количеством и местом размещения. Исправный возврат не относится на склад брака только на основании его происхождения из магазина.</w:t>
      </w:r>
    </w:p>
    <w:p>
      <w:r>
        <w:t>По возврату для утилизации сохраняются место выявления брака и результат утилизации. Списание отражается по месту выявления брака. Возврат для передачи поставщику закрывается по подтверждению соответствующей передачи; сам факт приёмки складом не означает завершение возврата поставщику.</w:t>
      </w:r>
    </w:p>
    <w:p>
      <w:pPr>
        <w:pStyle w:val="Heading2"/>
      </w:pPr>
      <w:r>
        <w:t>Учёт и возврат оборотной тары</w:t>
      </w:r>
    </w:p>
    <w:p>
      <w:r>
        <w:t>Ролл-кейджи и поддоны учитываются количеством по типам. Баланс ведётся отдельно от товара, по складам, автомобилям и магазинам. Фиксируются переданные и возвращённые количества каждого типа, а также повреждения и потери. Постоянный индивидуальный идентификатор каждой единицы тары для этого учёта не требуется. При этом обязательная фиксация погрузки грузовых мест по SSCC или внутренним идентификаторам сохраняется: она подтверждает перевозку товара и не заменяется количественным учётом тары.</w:t>
      </w:r>
    </w:p>
    <w:p>
      <w:r>
        <w:t>На отгрузке склад и водитель подтверждают типы и количество передаваемой тары. Водитель подтверждает передачу тары магазину и количество, забранное при возврате. По возвращении автомобиля склад и водитель подтверждают фактически сданные и принятые количества по типам. Получение тары водителем из магазина и её приёмка складом отражаются отдельно; до складской приёмки тара учитывается у автомобиля, а не как возвращённая на склад.</w:t>
      </w:r>
    </w:p>
    <w:p>
      <w:r>
        <w:t>Срок возврата задаётся в настройках конкретного магазина или клиента: при следующей поставке, в установленный срок либо в тот же день. План вывоза должен соответствовать действующему правилу адреса. Переданное магазину количество увеличивает его остаток тары, подтверждённый возврат уменьшает его. Например, при передаче шести ролл-кейджей и возврате четырёх за магазином остаются два ролл-кейджа соответствующего типа.</w:t>
      </w:r>
    </w:p>
    <w:p>
      <w:r>
        <w:t>Департамент транспорта контролирует остатки и сроки возврата тары в магазинах и организует её вывоз. Он видит переданные, возвращённые и остающиеся количества по каждому типу, срок возврата и просроченные обязательства. Невывоз или изменение рейса не обнуляют остаток магазина; вывоз включается в транспортный план с учётом вместимости автомобиля на обратном участке.</w:t>
      </w:r>
    </w:p>
    <w:p>
      <w:r>
        <w:t>Потери и повреждения тары разбирает департамент транспорта. Этот же департамент принимает решение о списании либо предъявлении претензии. Повреждённая тара отражается отдельно от пригодной, а корректировка баланса выполняется по оформленному решению с сохранением причины и связи с исходными передачами. Недостача не закрывается произвольным уменьшением остатка магазина.</w:t>
      </w:r>
    </w:p>
    <w:p>
      <w:r>
        <w:t>План паллет и грузовых мест учитывает наличие пригодной тары нужного типа к началу сборки. Ожидаемый возврат не подменяет фактическое наличие тары на складе.</w:t>
      </w:r>
    </w:p>
    <w:p>
      <w:r>
        <w:t>Руководитель отдела Supply Chain утверждает возврат, группа приёмки подтверждает фактически принятый товар, транспортный логист организует вывоз. Департамент транспорта отвечает за баланс тары в магазинах, сроки возврата, вывоз и решения по потерям и повреждениям; склад и водитель подтверждают фактические передачи. Результат процесса — выполненный возврат с подтверждённой приёмкой, учтённым размещением и исполненным назначением товара, а также достоверный учёт оборотной тары.</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затраты по таблицам стоимости</w:t>
      </w:r>
    </w:p>
    <w:p>
      <w:r>
        <w:t>Складские затраты рассчитываются по нормативной стоимости операций комплектации с единицей расчёта «коробка на отгрузку». Для расчёта ведутся таблицы стоимости: вид операции комплектации, нормативная ставка на коробку и период её действия. Стоимость определяется по применимой ставке и количеству коробок. Плановый расчёт использует плановый объём, расчёт выполненного рейса — подтверждённый объём его отгрузки.</w:t>
      </w:r>
    </w:p>
    <w:p>
      <w:r>
        <w:t>Общие складские работы включаются в стоимость комплектации за коробку либо в стоимость доставки за тележку. Они не распределяются отдельно по каждой волне или каждому заданию пополнения при ежедневном расчёте рейса. Работа, уже включённая в ставку, повторно отдельным начислением не учитывается. Факт складских операций сохраняется для контроля исполнения и расчёта нормативов.</w:t>
      </w:r>
    </w:p>
    <w:p>
      <w:pPr>
        <w:pStyle w:val="Heading2"/>
      </w:pPr>
      <w:r>
        <w:t>Транспортные затраты по нормативам</w:t>
      </w:r>
    </w:p>
    <w:p>
      <w:r>
        <w:t>Стоимость транспортного рейса складывается из отдельных ставок за автомобиль, обслуженные точки доставки и выгрузку. В таблицах стоимости учитываются тип и размеры машины, район доставки и условия обслуживания адресов. К ставке за автомобиль прибавляются ставки за точки маршрута и выгрузку в каждой из них.</w:t>
      </w:r>
    </w:p>
    <w:p>
      <w:r>
        <w:t>Фактический способ передачи товара фиксируется по каждой точке: ручная выгрузка, механизированная или автоматизированная выгрузка либо закатывание ролл-кейджа в магазин. Если завести тележку в точку можно только с затруднениями и требуется работа грузчика, стоимость выгрузки увеличивается на нормативную стоимость этой работы. Условия адреса используются при планировании, выполненный способ выгрузки подтверждается при исполнении рейса.</w:t>
      </w:r>
    </w:p>
    <w:p>
      <w:r>
        <w:t>В биллинге сохраняются применённые ставки, параметры автомобиля и маршрута, количество обслуженных точек, выполненная выгрузка и полученная стоимость. Используется таблица, действующая на дату выполнения работ. Один и тот же объём работы грузчика не начисляется одновременно в составе выгрузки и отдельной повторной услугой.</w:t>
      </w:r>
    </w:p>
    <w:p>
      <w:pPr>
        <w:pStyle w:val="Heading2"/>
      </w:pPr>
      <w:r>
        <w:t>Перенос товара между рейсами</w:t>
      </w:r>
    </w:p>
    <w:p>
      <w:r>
        <w:t>При переносе товара затраты на его складскую подготовку относятся к фактически выполненному рейсу, которым товар отгружен. Если товар собран для рейса А, а доставлен рейсом Б, стоимость его комплектации отражается в составе рейса Б. Смена планового рейса не создаёт повторную комплектацию в стоимостном учёте.</w:t>
      </w:r>
    </w:p>
    <w:p>
      <w:r>
        <w:t>Сохраняются факты ранее выполненных работ, дата их выполнения и история изменения транспортного назначения. Дополнительные перемещения или повторная погрузка фиксируются по факту; их стоимостное отражение определяется таблицами с учётом уже включённых общих работ. Переназначение товара не удаляет понесённые затраты и не начисляет их второй раз.</w:t>
      </w:r>
    </w:p>
    <w:p>
      <w:pPr>
        <w:pStyle w:val="Heading2"/>
      </w:pPr>
      <w:r>
        <w:t>Ежемесячный расчёт нормативных ставок</w:t>
      </w:r>
    </w:p>
    <w:p>
      <w:r>
        <w:t>Общие работы включаются в ставки комплектации за коробку либо доставки за тележку при ежемесячном расчёте таблиц стоимости. Основание расчёта — фактические данные предыдущего месяца о выполненных работах и соответствующих объёмах коробок и тележек. Применяемая база распределения закрепляется в таблице; одни и те же общие затраты не включаются одновременно в обе ставки.</w:t>
      </w:r>
    </w:p>
    <w:p>
      <w:r>
        <w:t>Финансовый контролёр может корректировать таблицы стоимости. В таблицах сохраняются расчётный период, исходные фактические данные, ставка, основание корректировки и дата её действия. По выполненному рейсу остаётся видна версия ставки, использованная при расчёте.</w:t>
      </w:r>
    </w:p>
    <w:p>
      <w:r>
        <w:t>Ежемесячный пересчёт определяет нормативы. Биллинг по действующим нормативам выполняется ежедневно, в день выполнения работ; ожидать окончания месяца для расчёта стоимости текущего рейса не требуется.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При переносе товара затраты относятся к фактически выполненному рейсу, история выполненных работ сохраняется. Повторная доставка получает собственный расчёт без повторного начисления одной и той же комплектации.</w:t>
      </w:r>
    </w:p>
    <w:p>
      <w:r>
        <w:t>По возвратам из магазина основанием для корректировки товарных и финансовых документов ERP служат подтверждённая приёмка и фактическое размещение по назначению возврата: исправная полная коробка — в зону отбора, брак — на площадку «Склад брака магазинов». При возврате брака для утилизации результат отражается на счёте списаний по месту выявления брака. Перемещение товара на принимающий склад сохраняет принадлежность потерь к месту их выявления.</w:t>
      </w:r>
    </w:p>
    <w:p>
      <w:r>
        <w:t>При сверке оборотной тары сопоставляются количества по типам: складская отгрузка, передачи и возвраты, подтверждённые водителем, и фактическая приёмка складом. Департамент транспорта контролирует остатки магазинов и возврат в срок, заданный настройкой клиента, включая возврат в тот же день. Потери и повреждения тары разбирает департамент транспорта; он принимает решение о списании или предъявлении претензии. Решение КРО по потере товара не подменяет установленную ответственность департамента транспорта за тару.</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br/>
        <w:t xml:space="preserve"> В настройках магазина или клиента ведётся срок возврата оборотной тары: при следующей поставке, в установленный срок или в тот же день. Департамент транспорта отвечает за применяемые условия возврата и проверяет их при планировании вывоза. Критерии качества этих настроек: правило возврата однозначно задано для адреса, срок позволяет определить дату исполнения обязательства, а учёт количества использует действующие типы тары.</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 Ролл-кейджи и поддоны в обороте учитываются количеством по этим типам. Количественный баланс тары отделён от SSCC грузовых мест и их вложенности: несколько вложенных кодов не создают дополнительные физические единицы тары. Департамент транспорта контролирует остатки тары в магазинах; водитель и склад подтверждают фактические передачи по типам.</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таблицы нормативной стоимости операций комплектации на коробку отгрузки: вид операции, единица расчёта, ставка и период действия. Общие работы включаются в ставку комплектации за коробку либо доставки за тележку. В таблицах указываются база включения общих работ и использованные фактические данные предыдущего месяца.</w:t>
      </w:r>
    </w:p>
    <w:p>
      <w:r>
        <w:t>За содержание справочника отвечает финансовый директор. Финансовая служба рассчитывает таблицы ежемесячно по факту предыдущего месяца; финансовый контролёр вправе корректировать стоимость. Начальник склада подтверждает состав работ и фактические объёмы. В записи сохраняются расчётный период, ставка, основание корректировки и дата её действия.</w:t>
      </w:r>
    </w:p>
    <w:p>
      <w:r>
        <w:t>Критерии качества: единица «коробка на отгрузку» задана однозначно для применяемой операции, ставка имеет подтверждённую базу расчёта. Общие затраты включаются один раз, без повторного начисления отдельной складской работы. По рейсу доступна применённая версия таблицы; стоимость рассчитывается в день выполнения по действующим нормативам. При переносе товара затраты относятся к фактически выполненному рейсу.</w:t>
      </w:r>
    </w:p>
    <w:p>
      <w:pPr>
        <w:pStyle w:val="Heading2"/>
      </w:pPr>
      <w:r>
        <w:t>19 Нормативы транспортной стоимости</w:t>
      </w:r>
    </w:p>
    <w:p>
      <w:r>
        <w:t>Ведутся отдельные ставки за автомобиль, точки доставки и выгрузку. Итоговая стоимость рейса складывается из этих составляющих. Ставки учитывают тип и размеры машины, район доставки и фактический способ передачи товара. Для адресов с затруднённым закатыванием тележки предусматривается увеличение стоимости выгрузки на нормативную стоимость работы грузчика.</w:t>
      </w:r>
    </w:p>
    <w:p>
      <w:r>
        <w:t>За содержание справочника отвечает финансовый директор. Финансовая служба ведёт ставки; руководитель транспортной логистики подтверждает их применимость к автомобилям, адресам и способам выгрузки. Финансовый контролёр может корректировать таблицы стоимости. Общие работы, относимые на доставку за тележку, пересчитываются ежемесячно по факту предыдущего месяца и не начисляются повторно.</w:t>
      </w:r>
    </w:p>
    <w:p>
      <w:r>
        <w:t>Критерии качества: каждая составляющая стоимости имеет однозначную ставку и единицу расчёта, указана дата её действия. Условия сложной выгрузки отражены для адреса, фактически выполненная работа подтверждена. Работа грузчика учитывается один раз. Отсутствующий норматив выявляется до назначения рейса; применённые ставки и итоговая стоимость доступны в день выполнения.</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