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Источники и практики для общего retail стандарта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17 сентября 2026 года.</w:t>
      </w:r>
    </w:p>
    <w:p>
      <w:pPr>
        <w:pStyle w:val="Heading1"/>
      </w:pPr>
      <w:r>
        <w:t>Метод исследования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Использованы официальные страницы поставщиков, публичные abstracts Gartner, стандарты GS1, материалы Smart Freight Centre и опубликованные клиентские кейсы. Это не доступ к закрытым RFP сетей и не результаты независимых испытаний коммерческих продуктов. Отраслевые наблюдения преобразованы в предлагаемые требования заказчика; конкретные политики и тесты не приписываются исходному клиенту без подтверждения.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Материалы предыдущего проекта RETAILCASE использованы только для понимания структуры репозитория и ранее обсуждённых решений. Его число складов, язык персонала, обязательность XML, конкретные сроки, два прохода контроля и способ межскладской консолидации не перенесены как универсальные свойства розницы.</w:t>
      </w:r>
    </w:p>
    <w:p>
      <w:pPr>
        <w:pStyle w:val="Heading1"/>
      </w:pPr>
      <w:r>
        <w:t>Что определяет формат магазина у дома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Малая подсобка ограничивает разовый объём доставки; высокая частота рейсов повышает цену каждой ошибки приёмки. Для коротких сроков годности важна свежесть в момент передачи магазину, а не только при выходе из РЦ. Улицы, входы, отсутствие рампы и короткое окно ограничивают автомобиль и грузоместо. Смешанные короба и роллы требуют удобства разгрузки и выкладки; возврат пустой тары и непринятого товара меняет загрузку по маршруту. Это аналитические следствия операционного профиля, которые необходимо подтвердить обследованием будущего заказчика.</w:t>
      </w:r>
    </w:p>
    <w:p>
      <w:pPr>
        <w:pStyle w:val="Heading1"/>
      </w:pPr>
      <w:r>
        <w:t>Практики других участников рынка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2523"/>
        <w:gridCol w:w="2826"/>
        <w:gridCol w:w="2826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Пример</w:t>
            </w:r>
          </w:p>
        </w:tc>
        <w:tc>
          <w:tcPr>
            <w:tcW w:type="dxa" w:w="2523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Что сообщает источник</w:t>
            </w:r>
          </w:p>
        </w:tc>
        <w:tc>
          <w:tcPr>
            <w:tcW w:type="dxa" w:w="2826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Требование для нашего стандарта</w:t>
            </w:r>
          </w:p>
        </w:tc>
        <w:tc>
          <w:tcPr>
            <w:tcW w:type="dxa" w:w="2826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Ограничение вывода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PLUS и Manhattan TMS, S22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Единое управление входящими и исходящими потоками, моделирование сети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RT12 RT13 RT39; единый транспортный план с разными потоками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Сообщение 2022 года, не аудит текущей версии или всей эффективности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Sainsburys и Blue Yonder, S23</w:t>
            </w:r>
          </w:p>
        </w:tc>
        <w:tc>
          <w:tcPr>
            <w:tcW w:type="dxa" w:w="2523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Программа охватывает WMS, labor и yard вместе с планированием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RW41 RW43, RT19 и разделение владельцев данных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Анонс выбора и будущего развития не равен завершённому внедрению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REWE Dortmund и LYDIA, S24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Голосовое исполнение в свежих овощах и фруктах, параллельность голосовых систем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RW44 RW46; эргономика и совместимость исполнителей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 доказывает использование LFS как основной WMS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HAVI и Infor, S25</w:t>
            </w:r>
          </w:p>
        </w:tc>
        <w:tc>
          <w:tcPr>
            <w:tcW w:type="dxa" w:w="2523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Стандартизация распределительных площадок и доступ к данным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RW04 RW53 RW54; шаблон площадки с локальными политиками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Пищевой логистический оператор, а не магазин у дома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Grocery обзор Manhattan, S21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Согласование склада, труда и перевозки, отраслевые кейсы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BP04 BP06 BP08 и сквозные показатели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Маркетинговый обзор, не независимый бенчмарк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Mecalux Store Fulfillment, S27</w:t>
            </w:r>
          </w:p>
        </w:tc>
        <w:tc>
          <w:tcPr>
            <w:tcW w:type="dxa" w:w="2523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Отдельная связь склада и магазинных операций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Явная граница WMS и магазинной системы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Дополнительный модуль, не обязательное ядро всех WMS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Экономические проценты из клиентских историй не перенесены в прогноз эффекта для абстрактной сети. Для оценки эффекта требуется собственный baseline ошибок, трудозатрат, потерь и стоимости доставки.</w:t>
      </w:r>
    </w:p>
    <w:p>
      <w:pPr>
        <w:pStyle w:val="Heading1"/>
      </w:pPr>
      <w:r>
        <w:t>Из каких решений собран стандарт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Из процессной декомпозиции SAP полезно разделение входа, внутреннего потока, выхода и cross functional scope. Из каталога Infor — соединение запаса, разных методов отбора и управления трудом. Manhattan подчёркивает непрерывное исполнение и связь автоматизации с ресурсами. AXELOT даёт подробный пример настройки стратегий и контроля операций. Эти принципы используются как структура требований; они не делают обязательной конкретную платформу, лицензию или микросервисный подход.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Blue Yonder расширяет набор сравнения оркестрацией ресурсов и slotting, Oracle — retail ориентированным распределением и flow through, Infios — выбором модульного состава, EPG — подробной декомпозицией складских технологий, Mecalux — сопряжением ручного и автоматизированного склада. Каждая возможность включается по необходимости процесса и проверяется отдельным тестом.</w:t>
      </w:r>
    </w:p>
    <w:p>
      <w:pPr>
        <w:pStyle w:val="Heading1"/>
      </w:pPr>
      <w:r>
        <w:t>Дополнительные кандидаты Gartner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Публичный WMS abstract от 29.04.2026 включает Blue Yonder, Oracle, Infios, EPG и Mecalux; они добавлены к четырём запрошенным WMS. Для TMS abstract от 30.03.2026 использованы Blue Yonder, Oracle, Infios, e2open и Alpega. Это два разных списка рынка. AXELOT и Infor Nexus не объявляются участниками TMS списка. Закрытые графики, точные позиции и оценки Gartner не воспроизводились.</w:t>
      </w:r>
    </w:p>
    <w:p>
      <w:pPr>
        <w:pStyle w:val="Heading1"/>
      </w:pPr>
      <w:r>
        <w:t>Экологические показатели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В WMS имеет смысл измерять порчу, истечение срока, расход упаковки и оборот тары по фактам. В TMS — топливо, порожний пробег и расчётные выбросы с методикой и версией коэффициентов.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GLEC Framework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служит возможной методологической основой; это не требование собственной сертификации продукта. Показатели должны различать фактическое измерение и оценку, чтобы оптимизация километров не выдавалась за измеренное снижение CO2e.</w:t>
      </w:r>
    </w:p>
    <w:p>
      <w:pPr>
        <w:pStyle w:val="Heading1"/>
      </w:pPr>
      <w:r>
        <w:t>Реестр первичных материалов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Дата обращения ко всем материалам 17 сентября 2026 года. Относительные даты поискового индекса не заменяют указанную дату публикации документа.</w:t>
      </w:r>
    </w:p>
    <w:p>
      <w:pPr>
        <w:pStyle w:val="Heading2"/>
      </w:pPr>
      <w:r>
        <w:t>S01 SAP EWM функции</w:t>
      </w:r>
    </w:p>
    <w:p>
      <w:pPr/>
      <w:hyperlink r:id="rId11">
        <w:r>
          <w:rPr>
            <w:rFonts w:ascii="Arial" w:hAnsi="Arial" w:cs="Arial" w:eastAsia="Arial"/>
            <w:color w:val="215E86"/>
            <w:u w:val="single"/>
          </w:rPr>
          <w:t>SAP EWM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каталог; базовая и расширенная поставки; функциональные семейства, не доказательство конкретного внедрения.</w:t>
      </w:r>
    </w:p>
    <w:p>
      <w:pPr>
        <w:pStyle w:val="Heading2"/>
      </w:pPr>
      <w:r>
        <w:t>S02 Infor WMS функции</w:t>
      </w:r>
    </w:p>
    <w:p>
      <w:pPr/>
      <w:hyperlink r:id="rId12">
        <w:r>
          <w:rPr>
            <w:rFonts w:ascii="Arial" w:hAnsi="Arial" w:cs="Arial" w:eastAsia="Arial"/>
            <w:color w:val="215E86"/>
            <w:u w:val="single"/>
          </w:rPr>
          <w:t>Infor WMS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каталог; конфигурация, модули и условия облачной поставки требуют уточнения.</w:t>
      </w:r>
    </w:p>
    <w:p>
      <w:pPr>
        <w:pStyle w:val="Heading2"/>
      </w:pPr>
      <w:r>
        <w:t>S03 Manhattan ActiveWarehouse</w:t>
      </w:r>
    </w:p>
    <w:p>
      <w:pPr/>
      <w:hyperlink r:id="rId13">
        <w:r>
          <w:rPr>
            <w:rFonts w:ascii="Arial" w:hAnsi="Arial" w:cs="Arial" w:eastAsia="Arial"/>
            <w:color w:val="215E86"/>
            <w:u w:val="single"/>
          </w:rPr>
          <w:t>Manhattan ActiveWarehouse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каталог; редакции Essentials, Enterprise и Enterprise Premier не считаются одинаковыми.</w:t>
      </w:r>
    </w:p>
    <w:p>
      <w:pPr>
        <w:pStyle w:val="Heading2"/>
      </w:pPr>
      <w:r>
        <w:t>S04 AXELOT WMS X5 функции</w:t>
      </w:r>
    </w:p>
    <w:p>
      <w:pPr/>
      <w:hyperlink r:id="rId14">
        <w:r>
          <w:rPr>
            <w:rFonts w:ascii="Arial" w:hAnsi="Arial" w:cs="Arial" w:eastAsia="Arial"/>
            <w:color w:val="215E86"/>
            <w:u w:val="single"/>
          </w:rPr>
          <w:t>AXELOT WMS X5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процессный каталог; SCAP, MOBILE и другие компоненты учитывать отдельно.</w:t>
      </w:r>
    </w:p>
    <w:p>
      <w:pPr>
        <w:pStyle w:val="Heading2"/>
      </w:pPr>
      <w:r>
        <w:t>S05 Blue Yonder Warehouse Management</w:t>
      </w:r>
    </w:p>
    <w:p>
      <w:pPr/>
      <w:hyperlink r:id="rId15">
        <w:r>
          <w:rPr>
            <w:rFonts w:ascii="Arial" w:hAnsi="Arial" w:cs="Arial" w:eastAsia="Arial"/>
            <w:color w:val="215E86"/>
            <w:u w:val="single"/>
          </w:rPr>
          <w:t>Blue Yonder Warehouse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 семейства; подробная граница модулей уточняется в предложении.</w:t>
      </w:r>
    </w:p>
    <w:p>
      <w:pPr>
        <w:pStyle w:val="Heading2"/>
      </w:pPr>
      <w:r>
        <w:t>S06 Oracle Warehouse Management Cloud</w:t>
      </w:r>
    </w:p>
    <w:p>
      <w:pPr/>
      <w:hyperlink r:id="rId16">
        <w:r>
          <w:rPr>
            <w:rFonts w:ascii="Arial" w:hAnsi="Arial" w:cs="Arial" w:eastAsia="Arial"/>
            <w:color w:val="215E86"/>
            <w:u w:val="single"/>
          </w:rPr>
          <w:t>Oracle Warehouse Management Cloud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продуктовый каталог; наличие Oracle Database в нашем проекте не означает наличие этого WMS продукта.</w:t>
      </w:r>
    </w:p>
    <w:p>
      <w:pPr>
        <w:pStyle w:val="Heading2"/>
      </w:pPr>
      <w:r>
        <w:t>S07 Infios Warehouse Management Systems</w:t>
      </w:r>
    </w:p>
    <w:p>
      <w:pPr/>
      <w:hyperlink r:id="rId17">
        <w:r>
          <w:rPr>
            <w:rFonts w:ascii="Arial" w:hAnsi="Arial" w:cs="Arial" w:eastAsia="Arial"/>
            <w:color w:val="215E86"/>
            <w:u w:val="single"/>
          </w:rPr>
          <w:t>Infios Warehouse Management Systems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 портфеля. До ответа вендора нельзя суммировать возможности разных продуктов и редакций как один внедряемый пакет.</w:t>
      </w:r>
    </w:p>
    <w:p>
      <w:pPr>
        <w:pStyle w:val="Heading2"/>
      </w:pPr>
      <w:r>
        <w:t>S08 EPG LFS модули</w:t>
      </w:r>
    </w:p>
    <w:p>
      <w:pPr/>
      <w:hyperlink r:id="rId18">
        <w:r>
          <w:rPr>
            <w:rFonts w:ascii="Arial" w:hAnsi="Arial" w:cs="Arial" w:eastAsia="Arial"/>
            <w:color w:val="215E86"/>
            <w:u w:val="single"/>
          </w:rPr>
          <w:t>EPG LFS модули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 основных и дополнительных модулей.</w:t>
      </w:r>
    </w:p>
    <w:p>
      <w:pPr>
        <w:pStyle w:val="Heading2"/>
      </w:pPr>
      <w:r>
        <w:t>S09 Mecalux Easy WMS</w:t>
      </w:r>
    </w:p>
    <w:p>
      <w:pPr/>
      <w:hyperlink r:id="rId19">
        <w:r>
          <w:rPr>
            <w:rFonts w:ascii="Arial" w:hAnsi="Arial" w:cs="Arial" w:eastAsia="Arial"/>
            <w:color w:val="215E86"/>
            <w:u w:val="single"/>
          </w:rPr>
          <w:t>Mecalux Easy WMS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Официальная страница прочитана через поисковый индекс; прямое открытие иногда возвращало неполное содержимое. Утверждения ограничены доступным текстом.</w:t>
      </w:r>
    </w:p>
    <w:p>
      <w:pPr>
        <w:pStyle w:val="Heading2"/>
      </w:pPr>
      <w:r>
        <w:t>S10 SAP Transportation Management функции</w:t>
      </w:r>
    </w:p>
    <w:p>
      <w:pPr/>
      <w:hyperlink r:id="rId20">
        <w:r>
          <w:rPr>
            <w:rFonts w:ascii="Arial" w:hAnsi="Arial" w:cs="Arial" w:eastAsia="Arial"/>
            <w:color w:val="215E86"/>
            <w:u w:val="single"/>
          </w:rPr>
          <w:t>SAP Transportation Management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каталог; функции TM не приписываются EWM.</w:t>
      </w:r>
    </w:p>
    <w:p>
      <w:pPr>
        <w:pStyle w:val="Heading2"/>
      </w:pPr>
      <w:r>
        <w:t>S11 Infor Nexus Global Transportation Management</w:t>
      </w:r>
    </w:p>
    <w:p>
      <w:pPr/>
      <w:hyperlink r:id="rId21">
        <w:r>
          <w:rPr>
            <w:rFonts w:ascii="Arial" w:hAnsi="Arial" w:cs="Arial" w:eastAsia="Arial"/>
            <w:color w:val="215E86"/>
            <w:u w:val="single"/>
          </w:rPr>
          <w:t>Infor Nexus Global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 глобального сетевого TMS; не доказательство подходящего мобильного контура для городского собственного парка.</w:t>
      </w:r>
    </w:p>
    <w:p>
      <w:pPr>
        <w:pStyle w:val="Heading2"/>
      </w:pPr>
      <w:r>
        <w:t>S12 Manhattan ActiveTransportation</w:t>
      </w:r>
    </w:p>
    <w:p>
      <w:pPr/>
      <w:hyperlink r:id="rId22">
        <w:r>
          <w:rPr>
            <w:rFonts w:ascii="Arial" w:hAnsi="Arial" w:cs="Arial" w:eastAsia="Arial"/>
            <w:color w:val="215E86"/>
            <w:u w:val="single"/>
          </w:rPr>
          <w:t>Manhattan ActiveTransportation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 планирования, исполнения, парка и расчётов.</w:t>
      </w:r>
    </w:p>
    <w:p>
      <w:pPr>
        <w:pStyle w:val="Heading2"/>
      </w:pPr>
      <w:r>
        <w:t>S13 AXELOT TMS функции</w:t>
      </w:r>
    </w:p>
    <w:p>
      <w:pPr/>
      <w:hyperlink r:id="rId23">
        <w:r>
          <w:rPr>
            <w:rFonts w:ascii="Arial" w:hAnsi="Arial" w:cs="Arial" w:eastAsia="Arial"/>
            <w:color w:val="215E86"/>
            <w:u w:val="single"/>
          </w:rPr>
          <w:t>AXELOT TMS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каталог; отдельно уточнять SCAP, MAPS, RTVP, MOBILE, лицензирование и интеграцию.</w:t>
      </w:r>
    </w:p>
    <w:p>
      <w:pPr>
        <w:pStyle w:val="Heading2"/>
      </w:pPr>
      <w:r>
        <w:t>S14 Blue Yonder Transportation Management</w:t>
      </w:r>
    </w:p>
    <w:p>
      <w:pPr/>
      <w:hyperlink r:id="rId24">
        <w:r>
          <w:rPr>
            <w:rFonts w:ascii="Arial" w:hAnsi="Arial" w:cs="Arial" w:eastAsia="Arial"/>
            <w:color w:val="215E86"/>
            <w:u w:val="single"/>
          </w:rPr>
          <w:t>Blue Yonder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каталог; сеть и дополнительные компоненты не объявляются автоматически включёнными.</w:t>
      </w:r>
    </w:p>
    <w:p>
      <w:pPr>
        <w:pStyle w:val="Heading2"/>
      </w:pPr>
      <w:r>
        <w:t>S15 Oracle Transportation Management</w:t>
      </w:r>
    </w:p>
    <w:p>
      <w:pPr/>
      <w:hyperlink r:id="rId25">
        <w:r>
          <w:rPr>
            <w:rFonts w:ascii="Arial" w:hAnsi="Arial" w:cs="Arial" w:eastAsia="Arial"/>
            <w:color w:val="215E86"/>
            <w:u w:val="single"/>
          </w:rPr>
          <w:t>Oracle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 OTM, Fleet и финансовых возможностей; состав подписки уточняется.</w:t>
      </w:r>
    </w:p>
    <w:p>
      <w:pPr>
        <w:pStyle w:val="Heading2"/>
      </w:pPr>
      <w:r>
        <w:t>S16 Infios Transportation Management</w:t>
      </w:r>
    </w:p>
    <w:p>
      <w:pPr/>
      <w:hyperlink r:id="rId26">
        <w:r>
          <w:rPr>
            <w:rFonts w:ascii="Arial" w:hAnsi="Arial" w:cs="Arial" w:eastAsia="Arial"/>
            <w:color w:val="215E86"/>
            <w:u w:val="single"/>
          </w:rPr>
          <w:t>Infios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Официальная страница прямо связывает текущее название с MercuryGate TMS; отдельные DSD и routing решения проверяются по составу поставки.</w:t>
      </w:r>
    </w:p>
    <w:p>
      <w:pPr>
        <w:pStyle w:val="Heading2"/>
      </w:pPr>
      <w:r>
        <w:t>S17 e2open Transportation Management</w:t>
      </w:r>
    </w:p>
    <w:p>
      <w:pPr/>
      <w:hyperlink r:id="rId27">
        <w:r>
          <w:rPr>
            <w:rFonts w:ascii="Arial" w:hAnsi="Arial" w:cs="Arial" w:eastAsia="Arial"/>
            <w:color w:val="215E86"/>
            <w:u w:val="single"/>
          </w:rPr>
          <w:t>e2open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каталог. В сравнении используется решение для грузовладельца, а не отдельный продукт для экспедитора или услуга LaaS.</w:t>
      </w:r>
    </w:p>
    <w:p>
      <w:pPr>
        <w:pStyle w:val="Heading2"/>
      </w:pPr>
      <w:r>
        <w:t>S18 Alpega TMS для грузовладельца</w:t>
      </w:r>
    </w:p>
    <w:p>
      <w:pPr/>
      <w:hyperlink r:id="rId28">
        <w:r>
          <w:rPr>
            <w:rFonts w:ascii="Arial" w:hAnsi="Arial" w:cs="Arial" w:eastAsia="Arial"/>
            <w:color w:val="215E86"/>
            <w:u w:val="single"/>
          </w:rPr>
          <w:t>Alpega TMS для грузовладельца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каталог; дополнительные модули и сетевые подключения должны быть перечислены в смете.</w:t>
      </w:r>
    </w:p>
    <w:p>
      <w:pPr>
        <w:pStyle w:val="Heading2"/>
      </w:pPr>
      <w:r>
        <w:t>S19 Gartner WMS 2026</w:t>
      </w:r>
    </w:p>
    <w:p>
      <w:pPr/>
      <w:hyperlink r:id="rId29">
        <w:r>
          <w:rPr>
            <w:rFonts w:ascii="Arial" w:hAnsi="Arial" w:cs="Arial" w:eastAsia="Arial"/>
            <w:color w:val="215E86"/>
            <w:u w:val="single"/>
          </w:rPr>
          <w:t>Gartner WMS 2026</w:t>
        </w:r>
      </w:hyperlink>
      <w:r>
        <w:rPr>
          <w:rFonts w:ascii="Arial" w:hAnsi="Arial" w:cs="Arial" w:eastAsia="Arial"/>
          <w:b w:val="0"/>
          <w:sz w:val="22"/>
          <w:cs w:val="0"/>
        </w:rPr>
        <w:t>. Публичный abstract от 29.04.2026 подтверждает включение в исследование; закрытые оценки и размещение в квадранте не использовались.</w:t>
      </w:r>
    </w:p>
    <w:p>
      <w:pPr>
        <w:pStyle w:val="Heading2"/>
      </w:pPr>
      <w:r>
        <w:t>S20 Gartner TMS 2026</w:t>
      </w:r>
    </w:p>
    <w:p>
      <w:pPr/>
      <w:hyperlink r:id="rId30">
        <w:r>
          <w:rPr>
            <w:rFonts w:ascii="Arial" w:hAnsi="Arial" w:cs="Arial" w:eastAsia="Arial"/>
            <w:color w:val="215E86"/>
            <w:u w:val="single"/>
          </w:rPr>
          <w:t>Gartner TMS 2026</w:t>
        </w:r>
      </w:hyperlink>
      <w:r>
        <w:rPr>
          <w:rFonts w:ascii="Arial" w:hAnsi="Arial" w:cs="Arial" w:eastAsia="Arial"/>
          <w:b w:val="0"/>
          <w:sz w:val="22"/>
          <w:cs w:val="0"/>
        </w:rPr>
        <w:t>. Публичный abstract от 30.03.2026 подтверждает список участников. Infor и AXELOT не указаны в этом списке.</w:t>
      </w:r>
    </w:p>
    <w:p>
      <w:pPr>
        <w:pStyle w:val="Heading2"/>
      </w:pPr>
      <w:r>
        <w:t>S21 Manhattan решения для grocery</w:t>
      </w:r>
    </w:p>
    <w:p>
      <w:pPr/>
      <w:hyperlink r:id="rId31">
        <w:r>
          <w:rPr>
            <w:rFonts w:ascii="Arial" w:hAnsi="Arial" w:cs="Arial" w:eastAsia="Arial"/>
            <w:color w:val="215E86"/>
            <w:u w:val="single"/>
          </w:rPr>
          <w:t>Manhattan решения для grocery</w:t>
        </w:r>
      </w:hyperlink>
      <w:r>
        <w:rPr>
          <w:rFonts w:ascii="Arial" w:hAnsi="Arial" w:cs="Arial" w:eastAsia="Arial"/>
          <w:b w:val="0"/>
          <w:sz w:val="22"/>
          <w:cs w:val="0"/>
        </w:rPr>
        <w:t>. Отраслевой обзор и ссылки на клиентские истории; не конфиденциальный RFP ритейлера.</w:t>
      </w:r>
    </w:p>
    <w:p>
      <w:pPr>
        <w:pStyle w:val="Heading2"/>
      </w:pPr>
      <w:r>
        <w:t>S22 PLUS использует Manhattan TMS</w:t>
      </w:r>
    </w:p>
    <w:p>
      <w:pPr/>
      <w:hyperlink r:id="rId32">
        <w:r>
          <w:rPr>
            <w:rFonts w:ascii="Arial" w:hAnsi="Arial" w:cs="Arial" w:eastAsia="Arial"/>
            <w:color w:val="215E86"/>
            <w:u w:val="single"/>
          </w:rPr>
          <w:t>PLUS использует Manhattan TMS</w:t>
        </w:r>
      </w:hyperlink>
      <w:r>
        <w:rPr>
          <w:rFonts w:ascii="Arial" w:hAnsi="Arial" w:cs="Arial" w:eastAsia="Arial"/>
          <w:b w:val="0"/>
          <w:sz w:val="22"/>
          <w:cs w:val="0"/>
        </w:rPr>
        <w:t>. Сообщение 07.02.2022: входящие и исходящие потоки, моделирование сети; будущие цели не равны измеренным результатам.</w:t>
      </w:r>
    </w:p>
    <w:p>
      <w:pPr>
        <w:pStyle w:val="Heading2"/>
      </w:pPr>
      <w:r>
        <w:t>S23 Sainsburys и Blue Yonder</w:t>
      </w:r>
    </w:p>
    <w:p>
      <w:pPr/>
      <w:hyperlink r:id="rId33">
        <w:r>
          <w:rPr>
            <w:rFonts w:ascii="Arial" w:hAnsi="Arial" w:cs="Arial" w:eastAsia="Arial"/>
            <w:color w:val="215E86"/>
            <w:u w:val="single"/>
          </w:rPr>
          <w:t>Sainsburys и Blue Yonder</w:t>
        </w:r>
      </w:hyperlink>
      <w:r>
        <w:rPr>
          <w:rFonts w:ascii="Arial" w:hAnsi="Arial" w:cs="Arial" w:eastAsia="Arial"/>
          <w:b w:val="0"/>
          <w:sz w:val="22"/>
          <w:cs w:val="0"/>
        </w:rPr>
        <w:t>. Сообщение 21.04.2020 о выборе и программе развития; не подтверждает завершение всех внедрений к текущей дате.</w:t>
      </w:r>
    </w:p>
    <w:p>
      <w:pPr>
        <w:pStyle w:val="Heading2"/>
      </w:pPr>
      <w:r>
        <w:t>S24 REWE Dortmund и LYDIA VOICE</w:t>
      </w:r>
    </w:p>
    <w:p>
      <w:pPr/>
      <w:hyperlink r:id="rId34">
        <w:r>
          <w:rPr>
            <w:rFonts w:ascii="Arial" w:hAnsi="Arial" w:cs="Arial" w:eastAsia="Arial"/>
            <w:color w:val="215E86"/>
            <w:u w:val="single"/>
          </w:rPr>
          <w:t>REWE Dortmund и LYDIA VOICE</w:t>
        </w:r>
      </w:hyperlink>
      <w:r>
        <w:rPr>
          <w:rFonts w:ascii="Arial" w:hAnsi="Arial" w:cs="Arial" w:eastAsia="Arial"/>
          <w:b w:val="0"/>
          <w:sz w:val="22"/>
          <w:cs w:val="0"/>
        </w:rPr>
        <w:t>. Кейс голосового исполнения. Наличие LYDIA не доказывает, что базовая WMS у REWE — LFS.</w:t>
      </w:r>
    </w:p>
    <w:p>
      <w:pPr>
        <w:pStyle w:val="Heading2"/>
      </w:pPr>
      <w:r>
        <w:t>S25 HAVI стандартизация складов</w:t>
      </w:r>
    </w:p>
    <w:p>
      <w:pPr/>
      <w:hyperlink r:id="rId35">
        <w:r>
          <w:rPr>
            <w:rFonts w:ascii="Arial" w:hAnsi="Arial" w:cs="Arial" w:eastAsia="Arial"/>
            <w:color w:val="215E86"/>
            <w:u w:val="single"/>
          </w:rPr>
          <w:t>HAVI стандартизация складов</w:t>
        </w:r>
      </w:hyperlink>
      <w:r>
        <w:rPr>
          <w:rFonts w:ascii="Arial" w:hAnsi="Arial" w:cs="Arial" w:eastAsia="Arial"/>
          <w:b w:val="0"/>
          <w:sz w:val="22"/>
          <w:cs w:val="0"/>
        </w:rPr>
        <w:t>. Публичная история пищевого логистического оператора, а не магазинов у дома; полезна как практика типизации площадок.</w:t>
      </w:r>
    </w:p>
    <w:p>
      <w:pPr>
        <w:pStyle w:val="Heading2"/>
      </w:pPr>
      <w:r>
        <w:t>S26 Mecalux фото при приёмке и отправке</w:t>
      </w:r>
    </w:p>
    <w:p>
      <w:pPr/>
      <w:hyperlink r:id="rId36">
        <w:r>
          <w:rPr>
            <w:rFonts w:ascii="Arial" w:hAnsi="Arial" w:cs="Arial" w:eastAsia="Arial"/>
            <w:color w:val="215E86"/>
            <w:u w:val="single"/>
          </w:rPr>
          <w:t>Mecalux фото при приёмке и отправке</w:t>
        </w:r>
      </w:hyperlink>
      <w:r>
        <w:rPr>
          <w:rFonts w:ascii="Arial" w:hAnsi="Arial" w:cs="Arial" w:eastAsia="Arial"/>
          <w:b w:val="0"/>
          <w:sz w:val="22"/>
          <w:cs w:val="0"/>
        </w:rPr>
        <w:t>. Описание конкретной возможности регистрации изображений и инцидентов.</w:t>
      </w:r>
    </w:p>
    <w:p>
      <w:pPr>
        <w:pStyle w:val="Heading2"/>
      </w:pPr>
      <w:r>
        <w:t>S27 Mecalux Store Fulfillment</w:t>
      </w:r>
    </w:p>
    <w:p>
      <w:pPr/>
      <w:hyperlink r:id="rId37">
        <w:r>
          <w:rPr>
            <w:rFonts w:ascii="Arial" w:hAnsi="Arial" w:cs="Arial" w:eastAsia="Arial"/>
            <w:color w:val="215E86"/>
            <w:u w:val="single"/>
          </w:rPr>
          <w:t>Mecalux Store Fulfillment</w:t>
        </w:r>
      </w:hyperlink>
      <w:r>
        <w:rPr>
          <w:rFonts w:ascii="Arial" w:hAnsi="Arial" w:cs="Arial" w:eastAsia="Arial"/>
          <w:b w:val="0"/>
          <w:sz w:val="22"/>
          <w:cs w:val="0"/>
        </w:rPr>
        <w:t>. Отдельный модуль. Нельзя считать управление магазином обязательной частью любого WMS.</w:t>
      </w:r>
    </w:p>
    <w:p>
      <w:pPr>
        <w:pStyle w:val="Heading2"/>
      </w:pPr>
      <w:r>
        <w:t>S28 GS1 System Architecture</w:t>
      </w:r>
    </w:p>
    <w:p>
      <w:pPr/>
      <w:hyperlink r:id="rId38">
        <w:r>
          <w:rPr>
            <w:rFonts w:ascii="Arial" w:hAnsi="Arial" w:cs="Arial" w:eastAsia="Arial"/>
            <w:color w:val="215E86"/>
            <w:u w:val="single"/>
          </w:rPr>
          <w:t>GS1 System Architecture</w:t>
        </w:r>
      </w:hyperlink>
      <w:r>
        <w:rPr>
          <w:rFonts w:ascii="Arial" w:hAnsi="Arial" w:cs="Arial" w:eastAsia="Arial"/>
          <w:b w:val="0"/>
          <w:sz w:val="22"/>
          <w:cs w:val="0"/>
        </w:rPr>
        <w:t>. Первичный архитектурный стандарт; дополнительно проверен официальный справочник GS1 id keys через индекс. Прямой gs1.org иногда возвращал 403.</w:t>
      </w:r>
    </w:p>
    <w:p>
      <w:pPr>
        <w:pStyle w:val="Heading2"/>
      </w:pPr>
      <w:r>
        <w:t>S29 GS1 EPCIS</w:t>
      </w:r>
    </w:p>
    <w:p>
      <w:pPr/>
      <w:hyperlink r:id="rId39">
        <w:r>
          <w:rPr>
            <w:rFonts w:ascii="Arial" w:hAnsi="Arial" w:cs="Arial" w:eastAsia="Arial"/>
            <w:color w:val="215E86"/>
            <w:u w:val="single"/>
          </w:rPr>
          <w:t>GS1 EPCIS</w:t>
        </w:r>
      </w:hyperlink>
      <w:r>
        <w:rPr>
          <w:rFonts w:ascii="Arial" w:hAnsi="Arial" w:cs="Arial" w:eastAsia="Arial"/>
          <w:b w:val="0"/>
          <w:sz w:val="22"/>
          <w:cs w:val="0"/>
        </w:rPr>
        <w:t>. Первичный стандарт обмена событиями. EPCIS — возможный контракт, а не требование внедрять отдельную платформу.</w:t>
      </w:r>
    </w:p>
    <w:p>
      <w:pPr>
        <w:pStyle w:val="Heading2"/>
      </w:pPr>
      <w:r>
        <w:t>S30 GLEC Framework версия 3 2</w:t>
      </w:r>
    </w:p>
    <w:p>
      <w:pPr/>
      <w:hyperlink r:id="rId10">
        <w:r>
          <w:rPr>
            <w:rFonts w:ascii="Arial" w:hAnsi="Arial" w:cs="Arial" w:eastAsia="Arial"/>
            <w:color w:val="215E86"/>
            <w:u w:val="single"/>
          </w:rPr>
          <w:t>GLEC Framework версия 3 2</w:t>
        </w:r>
      </w:hyperlink>
      <w:r>
        <w:rPr>
          <w:rFonts w:ascii="Arial" w:hAnsi="Arial" w:cs="Arial" w:eastAsia="Arial"/>
          <w:b w:val="0"/>
          <w:sz w:val="22"/>
          <w:cs w:val="0"/>
        </w:rPr>
        <w:t>. Страница издателя, опубликована 30.06.2026, с названием версии October 2025. Версию документа не путать с датой веб публикации.</w:t>
      </w:r>
    </w:p>
    <w:p>
      <w:pPr>
        <w:pStyle w:val="Heading2"/>
      </w:pPr>
      <w:r>
        <w:t>S31 SAP merchandise distribution</w:t>
      </w:r>
    </w:p>
    <w:p>
      <w:pPr/>
      <w:hyperlink r:id="rId40">
        <w:r>
          <w:rPr>
            <w:rFonts w:ascii="Arial" w:hAnsi="Arial" w:cs="Arial" w:eastAsia="Arial"/>
            <w:color w:val="215E86"/>
            <w:u w:val="single"/>
          </w:rPr>
          <w:t>SAP merchandise distribution</w:t>
        </w:r>
      </w:hyperlink>
      <w:r>
        <w:rPr>
          <w:rFonts w:ascii="Arial" w:hAnsi="Arial" w:cs="Arial" w:eastAsia="Arial"/>
          <w:b w:val="0"/>
          <w:sz w:val="22"/>
          <w:cs w:val="0"/>
        </w:rPr>
        <w:t>. Доступное описание EWM 7.0 EHP1 подтверждает семантику flow through и crossdock; оно не доказывает лицензирование или API текущей редакции.</w:t>
      </w:r>
    </w:p>
    <w:p>
      <w:pPr>
        <w:pStyle w:val="Heading1"/>
      </w:pPr>
      <w:r>
        <w:t>Локальное основание</w:t>
      </w:r>
    </w:p>
    <w:p>
      <w:pPr/>
      <w:hyperlink r:id="rId41">
        <w:r>
          <w:rPr>
            <w:rFonts w:ascii="Arial" w:hAnsi="Arial" w:cs="Arial" w:eastAsia="Arial"/>
            <w:color w:val="215E86"/>
            <w:u w:val="single"/>
          </w:rPr>
          <w:t>Реестр доказательств E01–E33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содержит конкретные файлы текущего проекта. Для code gap использовались найденные реализации, а не только тексты будущих ТЗ. При этом обследование было целевым, а не полным запуском всех legacy процедур. Неизвестные области сохранены как неизвестные.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martfreightcentre.org/news/13311209" TargetMode="External"/><Relationship Id="rId11" Type="http://schemas.openxmlformats.org/officeDocument/2006/relationships/hyperlink" Target="https://www.sap.com/products/scm/extended-warehouse-management/features.html" TargetMode="External"/><Relationship Id="rId12" Type="http://schemas.openxmlformats.org/officeDocument/2006/relationships/hyperlink" Target="https://www.infor.com/en-gb/solutions/scm/warehouse-management-system" TargetMode="External"/><Relationship Id="rId13" Type="http://schemas.openxmlformats.org/officeDocument/2006/relationships/hyperlink" Target="https://www.manh.com/solutions/supply-chain-management-software/warehouse-management" TargetMode="External"/><Relationship Id="rId14" Type="http://schemas.openxmlformats.org/officeDocument/2006/relationships/hyperlink" Target="https://www.axelot.ru/product/axelot-wms-x5/functionality/" TargetMode="External"/><Relationship Id="rId15" Type="http://schemas.openxmlformats.org/officeDocument/2006/relationships/hyperlink" Target="https://blueyonder.com/solutions/warehouse-management" TargetMode="External"/><Relationship Id="rId16" Type="http://schemas.openxmlformats.org/officeDocument/2006/relationships/hyperlink" Target="https://www.oracle.com/scm/logistics/warehouse-management/" TargetMode="External"/><Relationship Id="rId17" Type="http://schemas.openxmlformats.org/officeDocument/2006/relationships/hyperlink" Target="https://www.infios.com/en/supply-chain-solutions/warehouse-management-systems" TargetMode="External"/><Relationship Id="rId18" Type="http://schemas.openxmlformats.org/officeDocument/2006/relationships/hyperlink" Target="https://epg.com/gb/logistics-software/warehouse-management-system-lfswms/lfs-modules/" TargetMode="External"/><Relationship Id="rId19" Type="http://schemas.openxmlformats.org/officeDocument/2006/relationships/hyperlink" Target="https://www.mecalux.com/software/warehouse-management-system-wms" TargetMode="External"/><Relationship Id="rId20" Type="http://schemas.openxmlformats.org/officeDocument/2006/relationships/hyperlink" Target="https://www.sap.com/products/scm/transportation-logistics/features.html" TargetMode="External"/><Relationship Id="rId21" Type="http://schemas.openxmlformats.org/officeDocument/2006/relationships/hyperlink" Target="https://www.infor.com/mea/solutions/scm/infor-nexus/transportation-management" TargetMode="External"/><Relationship Id="rId22" Type="http://schemas.openxmlformats.org/officeDocument/2006/relationships/hyperlink" Target="https://www.manh.com/solutions/supply-chain-management-software/transportation-management" TargetMode="External"/><Relationship Id="rId23" Type="http://schemas.openxmlformats.org/officeDocument/2006/relationships/hyperlink" Target="https://www.axelot.ru/product/axelot-tms/functionality/" TargetMode="External"/><Relationship Id="rId24" Type="http://schemas.openxmlformats.org/officeDocument/2006/relationships/hyperlink" Target="https://blueyonder.com/solutions/transportation-management" TargetMode="External"/><Relationship Id="rId25" Type="http://schemas.openxmlformats.org/officeDocument/2006/relationships/hyperlink" Target="https://www.oracle.com/scm/logistics/transportation-management/" TargetMode="External"/><Relationship Id="rId26" Type="http://schemas.openxmlformats.org/officeDocument/2006/relationships/hyperlink" Target="https://www.infios.com/en/supply-chain-solutions/transportation-management" TargetMode="External"/><Relationship Id="rId27" Type="http://schemas.openxmlformats.org/officeDocument/2006/relationships/hyperlink" Target="https://www.e2open.com/logistics/transportation-management" TargetMode="External"/><Relationship Id="rId28" Type="http://schemas.openxmlformats.org/officeDocument/2006/relationships/hyperlink" Target="https://www.alpegagroup.com/en-en/transport-management-system/" TargetMode="External"/><Relationship Id="rId29" Type="http://schemas.openxmlformats.org/officeDocument/2006/relationships/hyperlink" Target="https://www.gartner.com/en/documents/7780053" TargetMode="External"/><Relationship Id="rId30" Type="http://schemas.openxmlformats.org/officeDocument/2006/relationships/hyperlink" Target="https://www.gartner.com/en/documents/7645129" TargetMode="External"/><Relationship Id="rId31" Type="http://schemas.openxmlformats.org/officeDocument/2006/relationships/hyperlink" Target="https://www.manh.com/industries/grocery" TargetMode="External"/><Relationship Id="rId32" Type="http://schemas.openxmlformats.org/officeDocument/2006/relationships/hyperlink" Target="https://www.manh.com/en-au/about-us/newsroom/press-releases/plus-turns-manhattan-associates-cloud-solution-streamline" TargetMode="External"/><Relationship Id="rId33" Type="http://schemas.openxmlformats.org/officeDocument/2006/relationships/hyperlink" Target="https://media.blueyonder.com/sainsburys-feeds-its-supply-chain-strategy-with-blue-yonder/" TargetMode="External"/><Relationship Id="rId34" Type="http://schemas.openxmlformats.org/officeDocument/2006/relationships/hyperlink" Target="https://epg.com/us/newsroom/rewe-dortmund-adopts-lydia-voice/" TargetMode="External"/><Relationship Id="rId35" Type="http://schemas.openxmlformats.org/officeDocument/2006/relationships/hyperlink" Target="https://prd-xme.infor.com/en-nl/customer-stories/havi-warehouse-transformation-at-scale" TargetMode="External"/><Relationship Id="rId36" Type="http://schemas.openxmlformats.org/officeDocument/2006/relationships/hyperlink" Target="https://www.mecalux.com/software/updates/photo-capture" TargetMode="External"/><Relationship Id="rId37" Type="http://schemas.openxmlformats.org/officeDocument/2006/relationships/hyperlink" Target="https://www.mecalux.com/software/store-fulfillment" TargetMode="External"/><Relationship Id="rId38" Type="http://schemas.openxmlformats.org/officeDocument/2006/relationships/hyperlink" Target="https://ref.gs1.org/architecture/system-architecture/" TargetMode="External"/><Relationship Id="rId39" Type="http://schemas.openxmlformats.org/officeDocument/2006/relationships/hyperlink" Target="https://ref.gs1.org/standards/epcis/" TargetMode="External"/><Relationship Id="rId40" Type="http://schemas.openxmlformats.org/officeDocument/2006/relationships/hyperlink" Target="https://help.sap.com/docs/SAP_SUPPLY_CHAIN_MANAGEMENT/dc8e3ce481cc493aad2145b99e6c53eb/47264dbd1bc94575b37a520acf8fcdf9.html" TargetMode="External"/><Relationship Id="rId41" Type="http://schemas.openxmlformats.org/officeDocument/2006/relationships/hyperlink" Target="08_current_system_g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Источники и практики для общего retail стандарта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