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Стандарт WMS и TMS для сети магазинов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</w:t>
      </w:r>
    </w:p>
    <w:p>
      <w:pPr>
        <w:pStyle w:val="Heading1"/>
      </w:pPr>
      <w:r>
        <w:t>Назначение и главный вывод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Это общий стандарт розничной складской и транспортной системы, независимый от RETAILCASE. Он определяет обязательное ядро, условные профили и развитие, позволяет запрашивать сопоставимые ответы вендоров и оценивать недостающие возможности собственной системы.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текущего проекта рекомендовано развитие существующего ядра, а не его полная замена. В коде есть складской остаток, волны, задачи, ресурсы, резервы, пополнение и коробочный отбор. Наиболее важные gaps — сквозные гарантии свежести на дату доставки, независимого фактического веса, качества, обмена, отзыва партии и построчного подтверждения магазина. Статический анализ конкретных путей отделён от отсутствующей новой live приёмки.</w:t>
      </w:r>
    </w:p>
    <w:p>
      <w:pPr>
        <w:pStyle w:val="Heading1"/>
      </w:pPr>
      <w:r>
        <w:t>Состав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926"/>
        <w:gridCol w:w="7165"/>
      </w:tblGrid>
      <w:tr>
        <w:trPr>
          <w:cantSplit/>
          <w:tblHeader/>
        </w:trPr>
        <w:tc>
          <w:tcPr>
            <w:tcW w:type="dxa" w:w="2926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Документ</w:t>
            </w:r>
          </w:p>
        </w:tc>
        <w:tc>
          <w:tcPr>
            <w:tcW w:type="dxa" w:w="716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0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Стандарт WMS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60 требований RW01–RW60 по полному жизненному циклу склада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1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Стандарт TMS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40 требований RT01–RT40; перевозки отдельно от складского учёта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2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Архитектура и процессы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Владельцы данных, 12 процессов, состояния, сообщения и минимальные расширения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3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Опросник WMS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Вопрос, индивидуальный вес, демонстрация и поля ответа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4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Опросник TMS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Самостоятельная форма для транспортного вендора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5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Сравнение WMS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60 × 9 = 540 предварительных ответов со ссылками на источники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6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Сравнение TMS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40 × 9 = 360 ответов; иной набор дополнительных кандидатов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7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GAP текущей системы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Все 100 ID покрыты 43 группами анализа; 33 локальных доказательства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hyperlink r:id="rId18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Методика и приёмка</w:t>
              </w:r>
            </w:hyperlink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Веса, стоп критерии, баллы, 18 сквозных сценариев и профиль нагрузки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hyperlink r:id="rId19">
              <w:r>
                <w:rPr>
                  <w:rFonts w:ascii="Arial" w:hAnsi="Arial" w:cs="Arial" w:eastAsia="Arial"/>
                  <w:color w:val="000000"/>
                  <w:u w:val="single"/>
                  <w:sz w:val="20"/>
                </w:rPr>
                <w:t>Источники</w:t>
              </w:r>
            </w:hyperlink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31 официальный материал, retail практики и ограничения выводов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Все перечисленные документы и этот путеводитель имеют Word версии в подкаталоге docx. Формат Word — DOCX, не устаревший бинарный DOC. Пакет размещается рядом с предыдущими материалами в </w:t>
      </w:r>
      <w:hyperlink r:id="rId20">
        <w:r>
          <w:rPr>
            <w:rFonts w:ascii="Arial" w:hAnsi="Arial" w:cs="Arial" w:eastAsia="Arial"/>
            <w:color w:val="215E86"/>
            <w:u w:val="single"/>
          </w:rPr>
          <w:t>папке Google Drive</w:t>
        </w:r>
      </w:hyperlink>
      <w:r>
        <w:rPr>
          <w:rFonts w:ascii="Arial" w:hAnsi="Arial" w:cs="Arial" w:eastAsia="Arial"/>
          <w:b w:val="0"/>
          <w:sz w:val="22"/>
          <w:cs w:val="0"/>
        </w:rPr>
        <w:t>. Файлы имеют отдельный префикс RETAIL_STANDARD и не заменяют документы RETAILCASE. Фактические ссылки и проверки фиксируются в publication.md после загрузки.</w:t>
      </w:r>
    </w:p>
    <w:p>
      <w:pPr>
        <w:pStyle w:val="Heading1"/>
      </w:pPr>
      <w:r>
        <w:t>Что включено в общий стандарт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Приёмка, размещение, запас, партии и свежесть, независимая масса, резерв, пересчёт, пополнение, способы отбора, упаковка для магазина, контроль, погрузка, возврат, отзыв, тара, ресурсы и рабочие места. Дополнительно — применимые транзитные операции, VAS, голос и автоматизация. Для TMS включены городской маршрут, смены, вместимость по участкам, холод, исполнение, приёмка магазина, возвраты, тарифы и расчёты.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Прогноз продаж и закупки остаются в ERP или системе планирования. Маршрутизация не подменяет складской учёт. Постоянный ID ролла не подменяется SSCC груза. Два контрольных прохода, XML как единственный формат, роботизация и международные перевозки не объявлены универсально обязательными.</w:t>
      </w:r>
    </w:p>
    <w:p>
      <w:pPr>
        <w:pStyle w:val="Heading1"/>
      </w:pPr>
      <w:r>
        <w:t>Как использовать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Утвердить применимый профиль сети и численный профиль испытаний.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Передать одинаковые опросники кандидатам, запросить конкретные продукты, редакции и модули.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Закрыть неизвестные стоп критерии демонстрациями и контрактными ответами.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Проверить собственное решение на тех же сценариях и уточнить gaps в legacy процедурах.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Принимать решение развивать своё, покупать или использовать гибрид после сравнения полного результата и стоимости сопровождения.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Публичное описание вендора не равно принятой реализации. В матрицах Д означает описанное семейство функции, Ч — смежный механизм или портфель, НД — недостаток сведений. Числовой победитель без испытаний не назначен.</w:t>
      </w:r>
    </w:p>
    <w:p>
      <w:pPr>
        <w:pStyle w:val="Heading1"/>
      </w:pPr>
      <w:r>
        <w:t>Границы результата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Исследование не изменяет продуктовый код, Oracle, существующие планы или права Google Drive. Git commit и push не выполняются. Предыдущий RETAILCASE пакет остаётся отдельным профилем внедрения. Дата baseline и ограничения целевого обследования приведены в GAP документе.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1_wms_standard.docx" TargetMode="External"/><Relationship Id="rId11" Type="http://schemas.openxmlformats.org/officeDocument/2006/relationships/hyperlink" Target="02_tms_standard.docx" TargetMode="External"/><Relationship Id="rId12" Type="http://schemas.openxmlformats.org/officeDocument/2006/relationships/hyperlink" Target="03_architecture_processes.docx" TargetMode="External"/><Relationship Id="rId13" Type="http://schemas.openxmlformats.org/officeDocument/2006/relationships/hyperlink" Target="04_questionnaire_wms.docx" TargetMode="External"/><Relationship Id="rId14" Type="http://schemas.openxmlformats.org/officeDocument/2006/relationships/hyperlink" Target="05_questionnaire_tms.docx" TargetMode="External"/><Relationship Id="rId15" Type="http://schemas.openxmlformats.org/officeDocument/2006/relationships/hyperlink" Target="06_vendor_comparison_wms.docx" TargetMode="External"/><Relationship Id="rId16" Type="http://schemas.openxmlformats.org/officeDocument/2006/relationships/hyperlink" Target="07_vendor_comparison_tms.docx" TargetMode="External"/><Relationship Id="rId17" Type="http://schemas.openxmlformats.org/officeDocument/2006/relationships/hyperlink" Target="08_current_system_gap.docx" TargetMode="External"/><Relationship Id="rId18" Type="http://schemas.openxmlformats.org/officeDocument/2006/relationships/hyperlink" Target="09_evaluation_acceptance.docx" TargetMode="External"/><Relationship Id="rId19" Type="http://schemas.openxmlformats.org/officeDocument/2006/relationships/hyperlink" Target="10_sources.docx" TargetMode="External"/><Relationship Id="rId20" Type="http://schemas.openxmlformats.org/officeDocument/2006/relationships/hyperlink" Target="https://drive.google.com/drive/folders/12DME2KqiQLmjUAZomTL590vVxjtmkE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WMS и TMS для сети магазинов у дома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