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Retailcase</w:t>
      </w:r>
    </w:p>
    <w:p>
      <w:r>
        <w:t>Редакция 36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Резерв ячеек в аллеях закрепляется административно в пределах установленных лимитов и диапазонов ячеек отбора. Начальник склада определяет состав резервных адресов и их закрепление за категориями; параметры ведутся в WMS согласно утверждённой схеме склада. Указанная доля примерно 15% служит ориентиром при организации резерва. Для назначения пополнения система использует фактически закреплённые резервные адреса, а не рассчитывает и перераспределяет этот процент при каждой волне.</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pPr>
        <w:pStyle w:val="Heading2"/>
      </w:pPr>
      <w:r>
        <w:t>Переход на новый диапазон отбора</w:t>
      </w:r>
    </w:p>
    <w:p>
      <w:r>
        <w:t>При изменении слотирования остаток SKU в прежнем диапазоне сохраняется по фактическим адресам и вырабатывается в комплектации. На переходный период допускается отбор из прежнего и нового диапазонов. Начальник склада определяет новый диапазон, специалист по размещению и пополнению ведёт настройки, начальник смены контролирует выработку прежнего остатка.</w:t>
      </w:r>
    </w:p>
    <w:p>
      <w:r>
        <w:t>Перед пополнением нового диапазона WMS проверяет, хватает ли пригодного доступного остатка в прежнем отборе для обеспечения планируемой волны. Учитываются количество, выделенное другим волнам, и действующие задания. Пока прежний запас обеспечивает волну, товар в новый диапазон не подаётся. Если его недостаточно, пополнение назначается в новом диапазоне для покрытия необеспеченной потребности с учётом установленной кратности пополнения и вместимости ячеек.</w:t>
      </w:r>
    </w:p>
    <w:p>
      <w:r>
        <w:t>При такой нехватке не требуется ждать фактического нулевого остатка в прежнем диапазоне: волна обеспечивается с использованием обоих диапазонов, а прежний остаток расходуется до окончания. Задания комплектации сохраняют фактические адреса товара. Новое пополнение не восстанавливает запас в прежнем диапазоне; после выработки остатка этот диапазон перестаёт использоваться для отбора данного SKU. Правила партийного учёта и полного обеспечения волны сохраняются.</w:t>
      </w:r>
    </w:p>
    <w:p>
      <w:pPr>
        <w:pStyle w:val="Heading2"/>
      </w:pPr>
      <w:r>
        <w:t>Организация смен пополнения</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Полученный вес относится к конкретной коробке и включается в состав паллеты или ролл-кейджа.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r>
        <w:t>При переходе SKU на новый диапазон отбор временно выполняется из обоих диапазонов по фактическим адресам. Товар, уже стоящий в прежнем отборе, вырабатывается. В новый диапазон товар поступает только при недостаточности прежнего доступного запаса для обеспечения волны. Наличие нового диапазона в настройках не исключает прежний остаток из заданий комплектации.</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Товар направляется в ту же ячейку либо в свободную подходящую ячейку основного или резервного отбора. Если адрес меняется, новое место получения товара отображается в терминале комплектовщика.</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Исполнитель подтверждает фактическое помещение в назначенный автомобиль, а не только сканирование в экспедиции.</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отражается фактически погруженный состав. Его масса, объём и количество мест сверяются с возможностями автомобиля. Расхождение с плановым количеством паллет передаётся транспортному логисту до отправления.</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При объединении сохраняются происхождение товара и связь с заказом магазина. Подтверждаются исходные и итоговые идентификаторы, фактический состав нового поддона и завершение переупаковки. Для весовой продукции сохраняются фактическая масса и связи вложенных шиппинг-кодов.</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размещался в назначенном автомобиле по количеству мест, формату поддонов, объёму, массе и допустимой схеме размещения.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Для загрузки используется внешний размер фактической транспортной упаковки, включая выступающие элементы.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Масса конкретной коробки или порции фиксируется по весовому штрихкоду либо на весах при комплектации;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паллеты или ролл-кейджа учитывает фактически вложенный товар, внешние размеры итогового грузового места и его тару. После переупаковки параметры исходных поддонов не подменяют параметры итогового грузового места. Один и тот же товар не суммируется повторно на разных уровнях вложенности шиппинг-кодов.</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Ведутся тип и идентификатор автомобиля, размеры кузова и проёмов, грузоподъёмность, полезный объём, число и формат паллетных мест, температурные отсеки и оборудование для разгрузки.</w:t>
      </w:r>
    </w:p>
    <w:p>
      <w:r>
        <w:t>За справочник отвечает руководитель транспортной логистики. Транспортный диспетчер вносит данные по конкретным автомобилям и подтверждённым характеристикам перевозчика.</w:t>
      </w:r>
    </w:p>
    <w:p>
      <w:r>
        <w:t>Критерии качества: вместимость соответствует фактическому кузову и допустимой укладке, размеры не подменяются названием класса машины, температурные и разгрузочные возможности подтверждены. При замене автомобиля его параметры проверяются до назначения рейса.</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pPr>
        <w:pStyle w:val="Heading2"/>
      </w:pPr>
      <w:r>
        <w:t>12 Размещение SKU слотирование и правила пополнения</w:t>
      </w:r>
    </w:p>
    <w:p>
      <w:r>
        <w:t>Ведутся назначенные ячейки или диапазоны отбора всех SKU, лимиты ячеек отбора, административно закреплённые резервные адреса и диапазоны по категориям,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Состав резерва и его принадлежность категориям закреплены административно в пределах заданных лимитов и диапазонов отбора; физическая схема и настройки WMS совпадают. При смене диапазона прежние адреса сохраняются для выработки фактического остатка. Пополнение нового диапазона разрешается при недостаточности прежнего доступного запаса для обеспечения волны; переходные настройки допускают отбор из обоих диапазонов. После выработки прежнего остатка отбор данного SKU выполняется в новом диапазоне.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форматы и размеры поддонов и ролл-кейджей, собственная масса тары, вместимость, ограничения укладки, виды оборотной тары и правила вложенности грузовых мест.</w:t>
      </w:r>
    </w:p>
    <w:p>
      <w:r>
        <w:t>За справочник отвечает начальник склада. Сотрудник учёта тары ведёт записи, контролёр подтверждает массу и габариты используемых типов.</w:t>
      </w:r>
    </w:p>
    <w:p>
      <w:r>
        <w:t>Критерии качества: тара соответствует реально используемым средствам, её вес учитывается один раз, вложенные шиппинг-коды имеют однозначного родителя. Изменение формата отражается в расчёте веса, объёма и вместимости автомобиля.</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r>
        <w:t>При изменении диапазона отбора прежний остаток SKU вырабатывается по старым адресам. Прямое размещение принимаемого товара в новый диапазон дополнительно допускается только тогда, когда прежнего пригодного доступного запаса недостаточно для обеспечения волны. Если прежний запас покрывает её потребность, принимаемый товар в новый отбор не направляется; для него выбирается хранение по действующей стратегии. При недостаточности запаса оба диапазона могут обеспечивать одну волну, а условия выбора партии и вместимости продолжают действовать.</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Плановые проверки собранного товара создаются отдельными заданиями по настройкам контроля. Смена аудитора и готовность рейса не снимают запрет качества. Выпуск разрешается только после обязательных проверок действующего состава грузового места.</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итоговый SSCC либо допустимый внутренний идентификатор и сохраняет происхождение каждого количества из исходных мест. При полном объединении исходные места закрываются для дальнейшей погрузки с сохранением истории; при частичном переносе остаток сохраняется на исходном месте. Товар не суммируется повторно на уровнях исходного и итогового идентификаторов.</w:t>
      </w:r>
    </w:p>
    <w:p>
      <w:r>
        <w:t>Для итогового места подтверждаются состав, тара, фактическая масса весового товара и габариты, необходимые для погрузки. Перепаковка изменяет состав грузового места,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итоговое место; исходные полностью объединённые места не остаются отдельной потребностью погрузки.</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актуальный допуск и назначенный автомобиль. Закатывает тележку либо выполняет погрузку предусмотренным способом и подтверждает фактическое помещение в машину. Сканирование в зоне экспедиции до физического перемещения не является подтверждением погрузки.</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Их доступность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Retailcase,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Retailcase</dc:title>
  <dc:subject>Транспортный план и организация комплектации по волнам</dc:subject>
  <dc:creator/>
  <cp:keywords>Retailcase,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