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41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При суммировании исходные уровни могут отсутствовать в действующей иерархии; история источников и переносов сохраняется.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