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Приёмочные сценарии выбора WMS/TMS</w:t>
      </w:r>
    </w:p>
    <w:p>
      <w:r>
        <w:t>Версия 1.0 · 16.09.2026. Сценарии выполняются вендором на согласованном тестовом контуре. Ни один из них в рамках данного исследования не запускался.</w:t>
      </w:r>
    </w:p>
    <w:p>
      <w:pPr>
        <w:pStyle w:val="Heading1"/>
      </w:pPr>
      <w:r>
        <w:t>Общий набор и доказательства</w:t>
      </w:r>
    </w:p>
    <w:p>
      <w:r>
        <w:t>Обезличенный fixture: шесть логических источников, один центральный кроссдок и региональное плечо; минимум три независимых профиля WMS; 20–30 магазинов для бизнес-демо; сухой/охлаждённый/замороженный поток, несовместимые группы, два владельца, 100 SKU включая весовые, четыре лота с различными сроками, 30 HU включая legacy ID, nested HU, 5 типов транспорта/камер. Это предлагаемый испытательный набор, не фактический sizing RETAILCASE.</w:t>
      </w:r>
    </w:p>
    <w:p>
      <w:r>
        <w:t>Для технического первого пилота — два источника и 3–5 магазинов, целые HU, без недоказанной перепаковки. Масштаб 20–30 магазинов и четыре категории из бизнес-предложения — следующий gate, не тот же пилот под другим названием.</w:t>
      </w:r>
    </w:p>
    <w:p>
      <w:r>
        <w:t>На каждый тест сохранить: входные XML/API, versions/correlation IDs, ожидаемые и фактические количества/состояния, время, автора и роли, видео/скриншоты АРМ/ТСД, журнал ошибок, отчёт сверки, список модулей/конфигурации, decision PASS/FAIL/blocked с владельцем дефекта. Непроверенный кейс не PASSED. Скриншот не заменяет проверку количества в доменной модели.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2556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Требования</w:t>
            </w:r>
          </w:p>
        </w:tc>
        <w:tc>
          <w:tcPr>
            <w:tcW w:type="dxa" w:w="2556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Действия и негативный случай</w:t>
            </w:r>
          </w:p>
        </w:tc>
        <w:tc>
          <w:tcPr>
            <w:tcW w:type="dxa" w:w="2556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Критерий завершённого результата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D01 Master/order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W01–05, W41; T01–04, T30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Адрес/GTIN/упаковка, заказ до master, новый master, изменение/отмена/дубликат заказа, одинаковый внешний ID двух источников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Один согласованный заказ, history версий, неизвестные зависимости не проведены, идентичность не потеряна</w:t>
            </w:r>
          </w:p>
        </w:tc>
      </w:tr>
      <w:tr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D02 Receipt/weight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W06–15, W23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12 заказанных/10 полученных единиц, разные веса, просроченный лот, повреждение, измерение/тара, доверенный и недоверенный поставщик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Физический запас и quarantine верны; шт./кг сходятся с ERP, нет фиктивного полного короба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D03 Wave/replenish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W16–21, W37–40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Волна с паллетами/коробами/штуками, 10 пополнений одного SKU, concurrent claim, недостача, потеря Wi-Fi после скана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Один резерв/факт, вместимость pick-face соблюдена, остаточная задача видна, ТСД не показывает ложный ACK</w:t>
            </w:r>
          </w:p>
        </w:tc>
      </w:tr>
      <w:tr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D04 Quality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W22–25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Первый и второй независимый проход, пропуск во втором, превышение веса, HOLD, затем изменение состава после PASS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Доказательства обоих проходов; допуск относится только к соответствующей contentVersion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D05 Plan/fact chain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T03, T06–15, T32–34; W43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Один источник PLAN, другой ACTUAL_ONLY; 10 плановых/8 фактических мест, backwards schedule, нехватка ворот, конфликт freeze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Нет двойного спроса/преждевременного бронирования, infeasible явно объяснён, ручной и автоплан проверяются одинаково</w:t>
            </w:r>
          </w:p>
        </w:tc>
      </w:tr>
      <w:tr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D06 External crossdock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W27–28, W32; T07, T11–14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Независимые WMS, ASN до/после факта, чужая линия/магазин/дата, повтор приёмки, отказ target API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Физически приняты только правильные HU, не созданы двойные остатки; ошибка адаптера не превращена в RECEIVED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D07 HU genealogy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W13, W25, W29–31; T04, T34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2 дочерних→1 родитель; попытка цикла/второго parent; split по шву; затем произвольные 3 новых HU из содержимого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Баланс owner/orderLine/lot/шт./кг, правильная история; объём переизмерен, допуск обновлён; нет отгрузки parent и child одновременно</w:t>
            </w:r>
          </w:p>
        </w:tc>
      </w:tr>
      <w:tr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D08 Load/route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W32–33; T06, T14–20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Многокамерная машина, несколько ворот доступа, неправильный HU, load/unload, departure, поздний shuttle, replan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Сегментная ёмкость/холодовая совместимость соблюдены, уже исполненное не удалено, остаток волны не потерян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D09 Store/returns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W34–35; T21–24, T31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Магазин принимает 9 из 10, отказ/фото/подпись, возврат/тара, offline POD, закрытие магазина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Только подтверждённое количество доставлено; остаток/претензия есть; assetId тары сохраняется; повтор не дублирует</w:t>
            </w:r>
          </w:p>
        </w:tc>
      </w:tr>
      <w:tr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D10 ERP/recovery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W41–43; T30–33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Все 4 ERP milestone плюс приход/расход/внутреннее/инвентаризация; reorder, одинаковый ID с иным hash, crash после commit, replay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Доменный эффект один, конфликт quarantined, business ACK правильный, суточная сверка нулевая либо объяснённая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D11 Cost/KPI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W36; T26–29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Платный простой, изменение после счёта, два плеча/повторные обработки, неполный POD, direct vs crossdock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Стоимость воспроизводима, нет двойной оплаты/тоннажа, OTIF и причины имеют согласованный знаменатель</w:t>
            </w:r>
          </w:p>
        </w:tc>
      </w:tr>
      <w:tr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D12 Operations/exit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W45–48; T35–40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Нагрузка, отказ solver/узла/связи, restore, чужая роль, export/import, тест обновления и ночной инцидент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Согласованные SLO/RPO/RTO доказаны, нет потерь/эскалации прав, экспорт сохраняет связи, поддержка отрабатывает runbook</w:t>
            </w:r>
          </w:p>
        </w:tc>
      </w:tr>
    </w:tbl>
    <w:p/>
    <w:p>
      <w:pPr>
        <w:pStyle w:val="Heading1"/>
      </w:pPr>
      <w:r>
        <w:t>Особо проверяемые инварианты</w:t>
      </w:r>
    </w:p>
    <w:p>
      <w:pPr>
        <w:pStyle w:val="ListBullet"/>
      </w:pPr>
      <w:r>
        <w:t>Σ выданного/полученного количества сохраняется с учётом документированных потерь/отказов/возвратов; не сравнивать количество HU до и после repack как товарный баланс.</w:t>
      </w:r>
    </w:p>
    <w:p>
      <w:pPr>
        <w:pStyle w:val="ListBullet"/>
      </w:pPr>
      <w:r>
        <w:t>В каждый момент физический хранитель, состояние качества и транспортное назначение определены; эти три измерения нельзя сжать в один статус.</w:t>
      </w:r>
    </w:p>
    <w:p>
      <w:pPr>
        <w:pStyle w:val="ListBullet"/>
      </w:pPr>
      <w:r>
        <w:t>Клиентский заказ может иметь несколько частей/плеч/частичных приёмок; один успешный дочерний факт не закрывает весь заказ.</w:t>
      </w:r>
    </w:p>
    <w:p>
      <w:pPr>
        <w:pStyle w:val="ListBullet"/>
      </w:pPr>
      <w:r>
        <w:t>Событие ORDER_ASSEMBLED не обязательно означает QA_RELEASED. INTERNAL_MOVEMENT_PLANNED не обязательно идёт после сборки.</w:t>
      </w:r>
    </w:p>
    <w:p>
      <w:pPr>
        <w:pStyle w:val="ListBullet"/>
      </w:pPr>
      <w:r>
        <w:t>Для срочного ручного bypass фиксируются роль/причина и только разрешённые действия; bypass не разрешает потерю происхождения, двойной запас или отгрузку несовместимого груза.</w:t>
      </w:r>
    </w:p>
    <w:p>
      <w:pPr>
        <w:pStyle w:val="ListBullet"/>
      </w:pPr>
      <w:r>
        <w:t>Передача водителю ричтрака задачи уже с поднятым грузом требует физической handover-процедуры.</w:t>
      </w:r>
    </w:p>
    <w:p>
      <w:pPr>
        <w:pStyle w:val="Heading1"/>
      </w:pPr>
      <w:r>
        <w:t>Пилот и rollout</w:t>
      </w:r>
    </w:p>
    <w:p>
      <w:r>
        <w:t>Инженерный пилот доказывает интерфейсы и факт полного HU, а не всю бизнес-экономику. Бизнес-пилот охватывает реальный недельный календарь, четыре категории, качество, repack/тару и магазины из согласованного кластера. Затем подключение новых источников/температурных режимов/регионов — отдельными подписанными приёмками.</w:t>
      </w:r>
    </w:p>
    <w:p>
      <w:r>
        <w:t>Стоп пилота: несверенный запас, потерянный подтверждённый факт, неверный магазин/лот, обойдённый HOLD, невозможность восстановиться в согласованное окно. Откат технически и организационно репетируется; две WMS не должны одновременно писать один и тот же физический остаток.</w:t>
      </w:r>
    </w:p>
    <w:p>
      <w:r>
        <w:t>После каждого значимого кейса и нагрузки выполнить анализ медленных SQL или эквивалент вендора с явным решением по каждой проблеме. Финальный акт подписывают logistics process owner, QA, IT, финансы и представитель розницы, а не только разработчик.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Приёмочные сценарии выбора WMS/TMS</dc:title>
  <dc:subject/>
  <dc:creator>RETAILCASE requirements working group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