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Методика выбора, веса и достоверность ответов</w:t>
      </w:r>
    </w:p>
    <w:p>
      <w:r>
        <w:t>Версия 1.0 · 16.09.2026.</w:t>
      </w:r>
    </w:p>
    <w:p>
      <w:pPr>
        <w:pStyle w:val="Heading1"/>
      </w:pPr>
      <w:r>
        <w:t>1. Как читать заполненные опросники</w:t>
      </w:r>
    </w:p>
    <w:p>
      <w:r>
        <w:t>Проведён desk research публичных официальных материалов, а не испытание лицензированных стендов и не официальный ответ поставщиков. Для каждой из 48 WMS- и 40 TMS-строк заполнены клетки девяти продуктов: всего 792 предварительных ответа.</w:t>
      </w:r>
    </w:p>
    <w:p>
      <w:pPr>
        <w:pStyle w:val="ListBullet"/>
      </w:pPr>
      <w:r>
        <w:t>П — прямо опубликована названная базовая возможность. Это не подтверждение всех подпунктов нашего требования и не PASS теста.</w:t>
      </w:r>
    </w:p>
    <w:p>
      <w:pPr>
        <w:pStyle w:val="ListBullet"/>
      </w:pPr>
      <w:r>
        <w:t>Ч — опубликован только соседний механизм/часть требования; конкретную семантику RETAILCASE нужно доказать.</w:t>
      </w:r>
    </w:p>
    <w:p>
      <w:pPr>
        <w:pStyle w:val="ListBullet"/>
      </w:pPr>
      <w:r>
        <w:t>НД — в просмотренных источниках достаточных данных нет. Не означает отсутствие функции.</w:t>
      </w:r>
    </w:p>
    <w:p>
      <w:pPr>
        <w:pStyle w:val="ListBullet"/>
      </w:pPr>
      <w:r>
        <w:t>Ссылка у клетки — основание именно указанной короткой формулировки. Полное описание требований/проверок — в опроснике.</w:t>
      </w:r>
    </w:p>
    <w:p>
      <w:pPr>
        <w:pStyle w:val="ListBullet"/>
      </w:pPr>
      <w:r>
        <w:t>Поддержку планируемой версии, стоимость модуля, способ реализации и сроки внедрения нельзя вывести из общей страницы продукта.</w:t>
      </w:r>
    </w:p>
    <w:p>
      <w:pPr>
        <w:pStyle w:val="ListBullet"/>
      </w:pPr>
      <w:r>
        <w:t>Комиссионные баллы пока не выставлены. Нельзя считать П=5, Ч=3, НД=0 и объявить победителя: это оценило бы качество публичной документации, а не пригодность системы.</w:t>
      </w:r>
    </w:p>
    <w:p>
      <w:r>
        <w:t>Реестр источников фиксирует дату обращения 16.09.2026. Обновляемые vendor pages могут менять брендинг/редакции; состав коммерческого предложения должен быть зафиксирован отдельно. Gartner используется только для обоснования дополнительных кандидатов, не как доказательство RETAILCASE-функций.</w:t>
      </w:r>
    </w:p>
    <w:p>
      <w:pPr>
        <w:pStyle w:val="Heading1"/>
      </w:pPr>
      <w:r>
        <w:t>2. Веса WMS — 100%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Блок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Мастер-данные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W01–W05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10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Приёмка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W06–W10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Запас/срок/вес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W11–W15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12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Отбор и пополнение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W16–W21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14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Контроль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W22–W26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10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Кроссдок/HU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W27–W32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14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Отгрузка/возвраты/тара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W33–W36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8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Рабочие места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W37–W40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8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Интеграции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W41–W44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8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Архитектура/эксплуатация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W45–W48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6</w:t>
            </w:r>
          </w:p>
        </w:tc>
      </w:tr>
    </w:tbl>
    <w:p/>
    <w:p>
      <w:r>
        <w:t>Относительно типового склада повышено значение catch weight, FEFO, пополнения, внешних HU и линий консолидации. Небольшой вес инфраструктуры не означает её необязательность: это отдельные gates.</w:t>
      </w:r>
    </w:p>
    <w:p>
      <w:pPr>
        <w:pStyle w:val="Heading1"/>
      </w:pPr>
      <w:r>
        <w:t>3. Веса TMS — 100%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Блок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Входные данные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T01–T05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10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Планирование сети/маршрута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T06–T10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15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Консолидация/подвоз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T11–T15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15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Исполнение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T16–T20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12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Доставка/возвраты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T21–T25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10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Финансы/KPI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T26–T29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8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Интеграции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T30–T33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12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Архитектура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T34–T37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Внедрение/поддержка/комплектность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T38–T40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8</w:t>
            </w:r>
          </w:p>
        </w:tc>
      </w:tr>
    </w:tbl>
    <w:p/>
    <w:p>
      <w:r>
        <w:t>Приоритет RETAILCASE — координация нескольких WMS, сроков и фактов, не только дешёвый километраж. Мультимодальный импорт оценивается, но не должен вытеснять развоз собственным парком.</w:t>
      </w:r>
    </w:p>
    <w:p>
      <w:pPr>
        <w:pStyle w:val="Heading1"/>
      </w:pPr>
      <w:r>
        <w:t>4. Балльная шкала после ответа и испытаний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Балл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Состояние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Нет требуемой возможности либо провален обязательный сценарий без принятого решения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Обещание/roadmap, прототип без воспроизводимого выполнения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Частичное выполнение, согласованная существенная доработка ещё не поставлена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Воспроизводимая функция показана, но часть наших критических исключений/параметров не доказана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Требование и согласованные негативные сценарии пройдены на данных RETAILCASE, ответственный за поддержку определён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Уровень 4 + нагрузка/восстановление/обновление подтверждены в применимой конфигурации, полезный эффект и применимый референс проверены</w:t>
            </w:r>
          </w:p>
        </w:tc>
      </w:tr>
    </w:tbl>
    <w:p/>
    <w:p>
      <w:r>
        <w:t>Если вопрос составной, комиссия хранит баллы подпунктов; итог строки ограничен самым слабым обязательным подпунктом. Не скрывать критический пробел средним баллом. Штатная и поддерживаемая заказная реализация могут одинаково пройти функциональный тест; их различают стоимость, сопровождение и риск, а не произвольное снижение функции.</w:t>
      </w:r>
    </w:p>
    <w:p>
      <w:r>
        <w:t>Формула итоговой подтверждённой оценки: S = Σ(w_i × s_i / 5), шкала 0–100. Для неизвестных балл остаётся пустым. Дополнительно показывать:</w:t>
      </w:r>
    </w:p>
    <w:p>
      <w:pPr>
        <w:pStyle w:val="ListBullet"/>
      </w:pPr>
      <w:r>
        <w:t>coverage = сумма весов вопросов с завершённой проверкой / 100;</w:t>
      </w:r>
    </w:p>
    <w:p>
      <w:pPr>
        <w:pStyle w:val="ListBullet"/>
      </w:pPr>
      <w:r>
        <w:t>нижнюю границу S_low по проверенным баллам;</w:t>
      </w:r>
    </w:p>
    <w:p>
      <w:pPr>
        <w:pStyle w:val="ListBullet"/>
      </w:pPr>
      <w:r>
        <w:t>верхнюю S_high = S_low + сумма весов непроверенных;</w:t>
      </w:r>
    </w:p>
    <w:p>
      <w:pPr>
        <w:pStyle w:val="ListBullet"/>
      </w:pPr>
      <w:r>
        <w:t>число непройденных/непроверенных обязательных gates.</w:t>
      </w:r>
    </w:p>
    <w:p>
      <w:r>
        <w:t>Пример только методики: проверено 70% веса и набрано 52 балла → интервал [52;82], а не итог 52/70 для сравнения с полностью проверенным продуктом. Никакому вендору этот пример не приписан.</w:t>
      </w:r>
    </w:p>
    <w:p>
      <w:pPr>
        <w:pStyle w:val="Heading1"/>
      </w:pPr>
      <w:r>
        <w:t>5. Стоп-критерии — независимо от суммы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Gate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Обязательный результат для полного целевого контура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G1 WMS truth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Нет двойного остатка/резерва; catch weight/лот/owner и отзыв прослеживаются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G2 Integration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Дубли/переупорядочивание/падение после commit не теряют движение; сверяются четыре типа складских движений и четыре ERP milestone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G3 Crossdock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Несколько WMS, реальная target receipt, HU genealogy, шов/repack, store/date/temperature и остаточные части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G4 Quality/safety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HOLD/contentVersion соблюдаются, два прохода по политике, вес/температура не обходятся обычным пользователем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G5 Transport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Соблюдены вместимость каждого сегмента, окна/совместимость, freeze и сохранение физического факта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G6 Store proof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LOADED/DEPARTED/HUB_RECEIVED не подменяют STORE_RECEIVED; partial POD не равен full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G7 Operations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Восстановление/ночная поддержка/пиковая нагрузка/права и audit доказаны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G8 Deliverability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Поставка/поддержка в Грузии, право использования и выгрузки данных, состав модулей, команда и условия выхода подтверждены договором</w:t>
            </w:r>
          </w:p>
        </w:tc>
      </w:tr>
    </w:tbl>
    <w:p/>
    <w:p>
      <w:r>
        <w:t>На раннем инженерном пилоте исключённые процессы отключаются физически и в UI, а не считаются прошедшими G3/G4. Запрет использовать repack до его приёмки не равен снятию требования с полного промышленного внедрения.</w:t>
      </w:r>
    </w:p>
    <w:p>
      <w:pPr>
        <w:pStyle w:val="Heading1"/>
      </w:pPr>
      <w:r>
        <w:t>6. Процедура закупки</w:t>
      </w:r>
    </w:p>
    <w:p>
      <w:pPr>
        <w:pStyle w:val="ListNumber"/>
      </w:pPr>
      <w:r>
        <w:t>Согласовать приоритеты и веса с логистикой, качеством, розницей, IT и финансами до предложений.</w:t>
      </w:r>
    </w:p>
    <w:p>
      <w:pPr>
        <w:pStyle w:val="ListNumber"/>
      </w:pPr>
      <w:r>
        <w:t>Разослать одинаковые данные/опросники, потребовать указания конкретной редакции и bill of materials.</w:t>
      </w:r>
    </w:p>
    <w:p>
      <w:pPr>
        <w:pStyle w:val="ListNumber"/>
      </w:pPr>
      <w:r>
        <w:t>Получить письменный fit-gap: стандарт/настройка/расширение/партнёр/нет, ответственность и оценка работ по каждой строке.</w:t>
      </w:r>
    </w:p>
    <w:p>
      <w:pPr>
        <w:pStyle w:val="ListNumber"/>
      </w:pPr>
      <w:r>
        <w:t>Короткий список по gates и способности выполнить D01–D12. Совместимость пары WMS+TMS проверять отдельно; два высоких отдельных балла не доказывают стык.</w:t>
      </w:r>
    </w:p>
    <w:p>
      <w:pPr>
        <w:pStyle w:val="ListNumber"/>
      </w:pPr>
      <w:r>
        <w:t>Выполнить управляемое живое демо с одинаковыми негативными случаями, затем пилот и проверку референсов.</w:t>
      </w:r>
    </w:p>
    <w:p>
      <w:pPr>
        <w:pStyle w:val="ListNumber"/>
      </w:pPr>
      <w:r>
        <w:t>Сопоставить доказанную функциональность, сроки/риски и коммерческое предложение раздельно; не придумывать цены лицензий по рекламным страницам.</w:t>
      </w:r>
    </w:p>
    <w:p>
      <w:pPr>
        <w:pStyle w:val="ListNumber"/>
      </w:pPr>
      <w:r>
        <w:t>Проверить устойчивость решения при изменении групповых весов ±20% с нормализацией. Если выбор меняется от малой поправки — нужен дополнительный тест, а не точность до сотых.</w:t>
      </w:r>
    </w:p>
    <w:p>
      <w:r>
        <w:t>Предложение для финального многокритериального решения после gates: 55% подтверждённая функциональность/архитектура, 25% полная договорная стоимость внедрения и сопровождения, 20% доказанная способность команды внедрить/поддерживать. Не добавлять эти веса к 100% опросника: это второй уровень модели, подлежащий утверждению.</w:t>
      </w:r>
    </w:p>
    <w:p>
      <w:r>
        <w:t>Поддерживаемость оценивать через обновления, регрессионные сценарии, доступность специалистов и цену изменения. Не требовать закрытых исходников SaaS как единственного способа выхода: обязательны экспорт, документация, API и договорные гарантии; для заказной разработки — дополнительно права на неё.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Методика выбора, веса и достоверность ответов</dc:title>
  <dc:subject/>
  <dc:creator>RETAILCASE requirements working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