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Требования к WMS региональных табачных хабов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Версия 1.0. 17 сентября 2026 года.</w:t>
      </w:r>
    </w:p>
    <w:p>
      <w:pPr>
        <w:pStyle w:val="Heading1"/>
      </w:pPr>
      <w:r>
        <w:t>Назначение пакета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Пакет предназначен заказчику, складским технологам, владельцу SAP, службе прослеживаемости и поставщикам WMS. Он задаёт стандарт готовой складской системы для региональных хабов производственной компании, хранящих и отгружающих сигареты клиентам и другим филиалам. Это самостоятельный отраслевой профиль, отделённый от требований продуктового ретейла и RETAILCASE.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Основное решение: использовать стандартные приход, размещение, хранение, пополнение, отбор и отгрузку, дополнив их сквозным помарочным учётом и независимым учётом собственника. Один склад и одно физическое задание могут обслуживать несколько юрлиц; их остатки, резервы и документы не обезличиваются.</w:t>
      </w:r>
    </w:p>
    <w:p>
      <w:pPr>
        <w:pStyle w:val="Heading1"/>
      </w:pPr>
      <w:r>
        <w:t>Состав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926"/>
        <w:gridCol w:w="7165"/>
      </w:tblGrid>
      <w:tr>
        <w:trPr>
          <w:cantSplit/>
          <w:tblHeader/>
        </w:trPr>
        <w:tc>
          <w:tcPr>
            <w:tcW w:type="dxa" w:w="2926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Документ</w:t>
            </w:r>
          </w:p>
        </w:tc>
        <w:tc>
          <w:tcPr>
            <w:tcW w:type="dxa" w:w="716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Для чего использовать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hyperlink r:id="rId10">
              <w:r>
                <w:rPr>
                  <w:rFonts w:ascii="Arial" w:hAnsi="Arial" w:cs="Arial" w:eastAsia="Arial"/>
                  <w:color w:val="000000"/>
                  <w:u w:val="single"/>
                  <w:sz w:val="20"/>
                </w:rPr>
                <w:t>Функциональные требования</w:t>
              </w:r>
            </w:hyperlink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52 требования TH-01–TH-52, стандартные процедуры и правила маркированного товара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hyperlink r:id="rId11">
              <w:r>
                <w:rPr>
                  <w:rFonts w:ascii="Arial" w:hAnsi="Arial" w:cs="Arial" w:eastAsia="Arial"/>
                  <w:color w:val="000000"/>
                  <w:u w:val="single"/>
                  <w:sz w:val="20"/>
                </w:rPr>
                <w:t>Архитектура и интеграция</w:t>
              </w:r>
            </w:hyperlink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Владельцы данных, модель запасов, SAP API, Track &amp; Trace, выкуп и отказы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hyperlink r:id="rId12">
              <w:r>
                <w:rPr>
                  <w:rFonts w:ascii="Arial" w:hAnsi="Arial" w:cs="Arial" w:eastAsia="Arial"/>
                  <w:color w:val="000000"/>
                  <w:u w:val="single"/>
                  <w:sz w:val="20"/>
                </w:rPr>
                <w:t>Опросник поставщика WMS</w:t>
              </w:r>
            </w:hyperlink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52 вопроса с весом, сценарием показа и полями ответа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hyperlink r:id="rId13">
              <w:r>
                <w:rPr>
                  <w:rFonts w:ascii="Arial" w:hAnsi="Arial" w:cs="Arial" w:eastAsia="Arial"/>
                  <w:color w:val="000000"/>
                  <w:u w:val="single"/>
                  <w:sz w:val="20"/>
                </w:rPr>
                <w:t>Веса и приёмка</w:t>
              </w:r>
            </w:hyperlink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Вес каждого вопроса, стоп-критерии, оценка и 18 сквозных испытаний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hyperlink r:id="rId14">
              <w:r>
                <w:rPr>
                  <w:rFonts w:ascii="Arial" w:hAnsi="Arial" w:cs="Arial" w:eastAsia="Arial"/>
                  <w:color w:val="000000"/>
                  <w:u w:val="single"/>
                  <w:sz w:val="20"/>
                </w:rPr>
                <w:t>Источники и профиль внедрения</w:t>
              </w:r>
            </w:hyperlink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Первичные источники, применимость правил страны и решения до проектирования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Основные документы поставляются в MD и Word DOCX в подпапке docx. </w:t>
      </w:r>
      <w:hyperlink r:id="rId15">
        <w:r>
          <w:rPr>
            <w:rFonts w:ascii="Arial" w:hAnsi="Arial" w:cs="Arial" w:eastAsia="Arial"/>
            <w:color w:val="215E86"/>
            <w:u w:val="single"/>
          </w:rPr>
          <w:t>Папка Google Drive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 содержит копии. После публикации прямые ссылки на каждый файл фиксируются в </w:t>
      </w:r>
      <w:hyperlink r:id="rId16">
        <w:r>
          <w:rPr>
            <w:rFonts w:ascii="Arial" w:hAnsi="Arial" w:cs="Arial" w:eastAsia="Arial"/>
            <w:color w:val="215E86"/>
            <w:u w:val="single"/>
          </w:rPr>
          <w:t>реестре публикации</w:t>
        </w:r>
      </w:hyperlink>
      <w:r>
        <w:rPr>
          <w:rFonts w:ascii="Arial" w:hAnsi="Arial" w:cs="Arial" w:eastAsia="Arial"/>
          <w:b w:val="0"/>
          <w:sz w:val="22"/>
          <w:cs w:val="0"/>
        </w:rPr>
        <w:t>. Межфайловые относительные ссылки предназначены для локального комплекта; на Диске использовать реестр.</w:t>
      </w:r>
    </w:p>
    <w:p>
      <w:pPr>
        <w:pStyle w:val="Heading1"/>
      </w:pPr>
      <w:r>
        <w:t>Что обязательно для выбора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Все 52 требования входят в базовый профиль. Метка «Стоп» означает критерий допуска: отсутствие подтверждённого решения по нему исключает промышленный запуск. Применение конкретных форматов маркировки, юридических документов и сроков передачи событий задаётся страновым профилем, а не угадывается по языку документа.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За исходную единицу помарочного учёта принимается пачка с уникальным идентификатором. Блок и короб являются упаковочными уровнями с известным составом, паллета — грузоместом. Допускаются другие зарегистрированные уровни, если они заданы справочником и внешним контрактом. По умолчанию отбор выполняется коробами и целыми блоками; поштучный коммерческий отбор пачек включается только при отдельном разрешении.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Выкуп меняет собственника конкретных марок по основанию SAP и сам по себе не меняет их физическое местоположение. Общая отгрузочная задача нескольких юрлиц распадается на юридические дочерние отгрузки. Недостающий запас одного собственника нельзя автоматически заменить запасом другого.</w:t>
      </w:r>
    </w:p>
    <w:p>
      <w:pPr>
        <w:pStyle w:val="Heading1"/>
      </w:pPr>
      <w:r>
        <w:t>Граница задания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Производственные рецептуры и линии сериализации, выпуск государственных марок, бухгалтерская оценка, налоговые проводки, транспортная маршрутизация и биллинг не входят в ядро этого WMS профиля. WMS принимает производственный состав и разрешённые идентификаторы, исполняет складские операции и передаёт факты соответствующим системам.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Пакет является спецификацией для выбора и реализации, а не актом испытаний конкретного продукта. Наличие функций в текущем репозитории или каталоге вендора не считается доказательством соответствия табачному профилю.</w:t>
      </w:r>
    </w:p>
    <w:p>
      <w:pPr>
        <w:pStyle w:val="Heading1"/>
      </w:pPr>
      <w:r>
        <w:t>Порядок применения</w:t>
      </w:r>
    </w:p>
    <w:p>
      <w:pPr>
        <w:pStyle w:val="ListNumber"/>
      </w:pPr>
      <w:r>
        <w:rPr>
          <w:rFonts w:ascii="Arial" w:hAnsi="Arial" w:cs="Arial" w:eastAsia="Arial"/>
          <w:b w:val="0"/>
          <w:sz w:val="22"/>
          <w:cs w:val="0"/>
        </w:rPr>
        <w:t>Заполнить профиль страны, SAP и внешней Track &amp; Trace, утвердить единицы и границы юридического учёта.</w:t>
      </w:r>
    </w:p>
    <w:p>
      <w:pPr>
        <w:pStyle w:val="ListNumber"/>
      </w:pPr>
      <w:r>
        <w:rPr>
          <w:rFonts w:ascii="Arial" w:hAnsi="Arial" w:cs="Arial" w:eastAsia="Arial"/>
          <w:b w:val="0"/>
          <w:sz w:val="22"/>
          <w:cs w:val="0"/>
        </w:rPr>
        <w:t>Отправить один и тот же опросник всем кандидатам, включая собственную WMS.</w:t>
      </w:r>
    </w:p>
    <w:p>
      <w:pPr>
        <w:pStyle w:val="ListNumber"/>
      </w:pPr>
      <w:r>
        <w:rPr>
          <w:rFonts w:ascii="Arial" w:hAnsi="Arial" w:cs="Arial" w:eastAsia="Arial"/>
          <w:b w:val="0"/>
          <w:sz w:val="22"/>
          <w:cs w:val="0"/>
        </w:rPr>
        <w:t>Получить ответы с версиями и стоимостью адаптации, провести одинаковые демонстрации.</w:t>
      </w:r>
    </w:p>
    <w:p>
      <w:pPr>
        <w:pStyle w:val="ListNumber"/>
      </w:pPr>
      <w:r>
        <w:rPr>
          <w:rFonts w:ascii="Arial" w:hAnsi="Arial" w:cs="Arial" w:eastAsia="Arial"/>
          <w:b w:val="0"/>
          <w:sz w:val="22"/>
          <w:cs w:val="0"/>
        </w:rPr>
        <w:t>Сначала проверить стоп-критерии, затем рассчитать взвешенное покрытие и стоимость владения.</w:t>
      </w:r>
    </w:p>
    <w:p>
      <w:pPr>
        <w:pStyle w:val="ListNumber"/>
      </w:pPr>
      <w:r>
        <w:rPr>
          <w:rFonts w:ascii="Arial" w:hAnsi="Arial" w:cs="Arial" w:eastAsia="Arial"/>
          <w:b w:val="0"/>
          <w:sz w:val="22"/>
          <w:cs w:val="0"/>
        </w:rPr>
        <w:t>Провести сквозную приёмку на тестовых SAP и Track &amp; Trace и только затем запускать пилот хаба.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Предыдущий </w:t>
      </w:r>
      <w:hyperlink r:id="rId17">
        <w:r>
          <w:rPr>
            <w:rFonts w:ascii="Arial" w:hAnsi="Arial" w:cs="Arial" w:eastAsia="Arial"/>
            <w:color w:val="215E86"/>
            <w:u w:val="single"/>
          </w:rPr>
          <w:t>общий стандарт retail WMS и TMS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 остаётся самостоятельным документом. Эта ветка не изменяет его и не вводит изменения в продуктовый код или Oracle.</w:t>
      </w:r>
    </w:p>
    <w:sectPr w:rsidR="00FC693F" w:rsidRPr="0006063C" w:rsidSect="00034616">
      <w:footerReference w:type="default" r:id="rId9"/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WMS Tobacco Hubs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1_functional_requirements.docx" TargetMode="External"/><Relationship Id="rId11" Type="http://schemas.openxmlformats.org/officeDocument/2006/relationships/hyperlink" Target="02_architecture_integration.docx" TargetMode="External"/><Relationship Id="rId12" Type="http://schemas.openxmlformats.org/officeDocument/2006/relationships/hyperlink" Target="03_vendor_questionnaire.docx" TargetMode="External"/><Relationship Id="rId13" Type="http://schemas.openxmlformats.org/officeDocument/2006/relationships/hyperlink" Target="04_weights_acceptance.docx" TargetMode="External"/><Relationship Id="rId14" Type="http://schemas.openxmlformats.org/officeDocument/2006/relationships/hyperlink" Target="05_sources_decisions.docx" TargetMode="External"/><Relationship Id="rId15" Type="http://schemas.openxmlformats.org/officeDocument/2006/relationships/hyperlink" Target="https://drive.google.com/drive/folders/1TnH9OjsLttPRFltYlTs3ov19Sx7INLYn" TargetMode="External"/><Relationship Id="rId16" Type="http://schemas.openxmlformats.org/officeDocument/2006/relationships/hyperlink" Target="../publication.md" TargetMode="External"/><Relationship Id="rId17" Type="http://schemas.openxmlformats.org/officeDocument/2006/relationships/hyperlink" Target="file:///C:/projects/TMS/wiki/requirements/retail_convenience_standard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WMS региональных табачных хабов</dc:title>
  <dc:subject>Табачная продукция, марки, несколько собственников и SAP</dc:subject>
  <dc:creator>Требования к WMS региональных хабов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