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25 от 6 октября 2026 года</w:t>
      </w:r>
    </w:p>
    <w:p>
      <w:r>
        <w:t>Рабочий цикл начинается с транспортного планирования.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транспортный план и задание на сборку → план волн и заказы по волнам → план и выполнение пополнения → подтверждение полного обеспечения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Если меняется состав заказов или требуется новый товар,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Заказы получены до 16:00: основной поток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r>
        <w:t>Начальник смены проверяет наличие пригодного товара для каждой строки заказа.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плановое количество товара по заказам, включённым в обеспеченную волну.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по решению транспортного логиста.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готовый объём и ожидаемый срок завершения. Логист согласует ожидание, изменение рейса или перенос.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Корректировку переданного заказа оформляет департамент цепей поставок с указанием изменённых строк и количеств и передаёт складу и транспортному логисту. Если транспортный план и волны уже выпущены, логист и начальник смены определяют необходимые изменения рейса, состава волны и заданий. Уже выполненные складские действия сохраняются в учёте.</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pPr>
        <w:pStyle w:val="Heading1"/>
      </w:pPr>
      <w:r>
        <w:t>Документы проекта</w:t>
      </w:r>
    </w:p>
    <w:p>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