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её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коробки.</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весовой коробки сканирование её весового штрихкода подтверждает фактический вес коробки.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целой коробки не подтверждает вес части её содержимого. Эти правила подтверждения комплектации не отменяют предусмотренный для собранного грузового места контроль перед передачей в экспедицию.</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При отборе целой коробки фактическая масса считается подтверждённой сканированием её весового штрихкода. При поштучной комплектации применяются сканирование и весовой контроль; фактическая масса набранных единиц или порций определяется на весах. Вес исходной коробки не подменяет массу отобранной части;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