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50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pPr>
        <w:pStyle w:val="Heading2"/>
      </w:pPr>
      <w:r>
        <w:t>Учёт и возврат оборотной тары</w:t>
      </w:r>
    </w:p>
    <w:p>
      <w:r>
        <w:t>Ролл-кейджи и поддоны учитываются количеством по типам. Баланс ведётся отдельно от товара, по складам, автомобилям и магазинам. Фиксируются переданные и возвращённые количества каждого типа, а также повреждения и потери. Постоянный индивидуальный идентификатор каждой единицы тары для этого учёта не требуется. При этом обязательная фиксация погрузки грузовых мест по SSCC или внутренним идентификаторам сохраняется: она подтверждает перевозку товара и не заменяется количественным учётом тары.</w:t>
      </w:r>
    </w:p>
    <w:p>
      <w:r>
        <w:t>На отгрузке склад и водитель подтверждают типы и количество передаваемой тары. Водитель подтверждает передачу тары магазину и количество, забранное при возврате. По возвращении автомобиля склад и водитель подтверждают фактически сданные и принятые количества по типам. Получение тары водителем из магазина и её приёмка складом отражаются отдельно; до складской приёмки тара учитывается у автомобиля, а не как возвращённая на склад.</w:t>
      </w:r>
    </w:p>
    <w:p>
      <w:r>
        <w:t>Срок возврата задаётся в настройках конкретного магазина или клиента: при следующей поставке, в установленный срок либо в тот же день. План вывоза должен соответствовать действующему правилу адреса. Переданное магазину количество увеличивает его остаток тары, подтверждённый возврат уменьшает его. Например, при передаче шести ролл-кейджей и возврате четырёх за магазином остаются два ролл-кейджа соответствующего типа.</w:t>
      </w:r>
    </w:p>
    <w:p>
      <w:r>
        <w:t>Департамент транспорта контролирует остатки и сроки возврата тары в магазинах и организует её вывоз. Он видит переданные, возвращённые и остающиеся количества по каждому типу, срок возврата и просроченные обязательства. Невывоз или изменение рейса не обнуляют остаток магазина; вывоз включается в транспортный план с учётом вместимости автомобиля на обратном участке.</w:t>
      </w:r>
    </w:p>
    <w:p>
      <w:r>
        <w:t>Потери и повреждения тары разбирает департамент транспорта. Этот же департамент принимает решение о списании либо предъявлении претензии. Повреждённая тара отражается отдельно от пригодной, а корректировка баланса выполняется по оформленному решению с сохранением причины и связи с исходными передачами. Недостача не закрывается произвольным уменьшением остатка магазина.</w:t>
      </w:r>
    </w:p>
    <w:p>
      <w:r>
        <w:t>План паллет и грузовых мест учитывает наличие пригодной тары нужного типа к началу сборки. Ожидаемый возврат не подменяет фактическое наличие тары на складе.</w:t>
      </w:r>
    </w:p>
    <w:p>
      <w:r>
        <w:t>Руководитель отдела Supply Chain утверждает возврат, группа приёмки подтверждает фактически принятый товар, транспортный логист организует вывоз. Департамент транспорта отвечает за баланс тары в магазинах, сроки возврата, вывоз и решения по потерям и повреждениям; склад и водитель подтверждают фактические передачи.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При сверке оборотной тары сопоставляются количества по типам: складская отгрузка, передачи и возвраты, подтверждённые водителем, и фактическая приёмка складом. Департамент транспорта контролирует остатки магазинов и возврат в срок, заданный настройкой клиента, включая возврат в тот же день. Потери и повреждения тары разбирает департамент транспорта; он принимает решение о списании или предъявлении претензии. Решение КРО по потере товара не подменяет установленную ответственность департамента транспорта за тару.</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br/>
        <w:t xml:space="preserve"> В настройках магазина или клиента ведётся срок возврата оборотной тары: при следующей поставке, в установленный срок или в тот же день. Департамент транспорта отвечает за применяемые условия возврата и проверяет их при планировании вывоза. Критерии качества этих настроек: правило возврата однозначно задано для адреса, срок позволяет определить дату исполнения обязательства, а учёт количества использует действующие типы тары.</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 Ролл-кейджи и поддоны в обороте учитываются количеством по этим типам. Количественный баланс тары отделён от SSCC грузовых мест и их вложенности: несколько вложенных кодов не создают дополнительные физические единицы тары. Департамент транспорта контролирует остатки тары в магазинах; водитель и склад подтверждают фактические передачи по типам.</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