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22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по наличию SKU в хранении и дате окончания срока годности; свободные ячейки выбираются относительно прогнозируемого места отбора. Для категории Б явно определены условия частичного пополнения занятой ячейки.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но только при одном из двух условий: товара этого SKU в хранении вообще нет либо в хранении имеется товар с той же датой окончания срока годности, что и у принимаемой партии. Если товар в хранении есть только с другой датой окончания срока годности, прямое размещение принимаемой партии в отбор не допускается.</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