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Никора</w:t>
      </w:r>
    </w:p>
    <w:p>
      <w:r>
        <w:t>Редакция 27 от 6 октября 2026 года</w:t>
      </w:r>
    </w:p>
    <w:p>
      <w:r>
        <w:t>Рабочий цикл начинается с транспортного планирования.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транспортный план и задание на сборку → план волн и заказы по волнам → план и выполнение пополнения → подтверждение полного обеспечения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маршрута транспортный логист определяет консолидацию нескольких последних неполных паллет одного адреса. Это решение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Дополнительно в каждой аллее примерно 15% ячеек предусматривается как резерв для каждой категории. Эти места отражаются в плане склада и используются при нехватке слотов в основном диапазоне отбора.</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r>
        <w:t>Водители ричтраков начинают смену на два часа раньше основной складской смены и заканчивают её на два часа раньше. Для вечернего цикла начало работы ричтраков — 18:00, выход комплектовщиков — около 20:00, начало сборки — после 20:00 при подтверждённой готовности волны. Конкретное время окончания обеих смен устанавливается графиком с сохранением двухчасового сдвига.</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До окончания смены ричтраков диспетчер проверяет обеспечение волн, которые предстоит собирать в оставшиеся два часа основной смены. Незавершённые задания и дефициты передаются начальнику смены для решения. Результат процесса — фактически пополненные ячейки и подтверждённое обеспечение плановых волн.</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r>
        <w:t>Начальник смены проверяет наличие пригодного товара для каждой строки заказа.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плановое количество товара по заказам, включённым в обеспеченную волну.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Полученный вес относится к конкретной коробке и включается в состав паллеты или ролл-кейджа.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 сообщению создаётся задание на инвентаризацию ячейки отбора. Выполняется проверка, и отсутствие товара фиксируется по её результату в складском учёте. Это позволяет установить расхождение между учётным остатком и фактическим наличием.</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Товар направляется в ту же ячейку либо в свободную подходящую ячейку основного или резервного отбора. Если адрес меняется, новое место получения товара отображается в терминале комплектовщика.</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грузовых мест, в том числе монопаллет и паллет со штрихкодом хранения.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отражается фактически погруженный состав. Его масса, объём и количество мест сверяются с возможностями автомобиля. Расхождение с плановым количеством паллет передаётся транспортному логисту до отправления.</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время ожидания. Если подвоз задерживается, транспортный логист определяет последствия для целевого рейса и при необходимости изменяет его структуру и время отправления.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на основании упаковочного листа.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При объединении сохраняются происхождение товара и связь с заказом магазина. Подтверждаются исходные и итоговые идентификаторы, фактический состав нового поддона и завершение переупаковки. Для весовой продукции сохраняются фактическая масса и связи вложенных шиппинг-кодов.</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размещался в назначенном автомобиле по количеству мест, формату поддонов, объёму, массе и допустимой схеме размещения.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Груз размещается с учётом последовательности разгрузки, температурного режима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коробки в составе принимаемой паллеты. Например, если такая коробка весит 2 кг, отклонение до 1 кг включительно находится в пределах допуска. Значение допуска определяется для конкретного грузового места и сохраняется вместе с отгрузочным и фактическим весом.</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Для загрузки используется внешний размер фактической транспортной упаковки, включая выступающие элементы.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используемой упаковки, признак переменной массы и источник получения фактического веса. Масса конкретной коробки или порции фиксируется по весовому штрихкоду либо на весах при комплектации; условный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паллеты или ролл-кейджа учитывает фактически вложенный товар, внешние размеры итогового грузового места и его тару. После переупаковки параметры исходных поддонов не подменяют параметры итогового грузового места. Один и тот же товар не суммируется повторно на разных уровнях вложенности шиппинг-кодов.</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Ведутся тип и идентификатор автомобиля, размеры кузова и проёмов, грузоподъёмность, полезный объём, число и формат паллетных мест, температурные отсеки и оборудование для разгрузки.</w:t>
      </w:r>
    </w:p>
    <w:p>
      <w:r>
        <w:t>За справочник отвечает руководитель транспортной логистики. Транспортный диспетчер вносит данные по конкретным автомобилям и подтверждённым характеристикам перевозчика.</w:t>
      </w:r>
    </w:p>
    <w:p>
      <w:r>
        <w:t>Критерии качества: вместимость соответствует фактическому кузову и допустимой укладке, размеры не подменяются названием класса машины, температурные и разгрузочные возможности подтверждены. При замене автомобиля его параметры проверяются до назначения рейса.</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pPr>
        <w:pStyle w:val="Heading2"/>
      </w:pPr>
      <w:r>
        <w:t>12 Размещение SKU слотирование и правила пополнения</w:t>
      </w:r>
    </w:p>
    <w:p>
      <w:r>
        <w:t>Ведутся назначенные ячейки или диапазоны отбора всех SKU, резервные адреса,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форматы и размеры поддонов и ролл-кейджей, собственная масса тары, вместимость, ограничения укладки, виды оборотной тары и правила вложенности грузовых мест.</w:t>
      </w:r>
    </w:p>
    <w:p>
      <w:r>
        <w:t>За справочник отвечает начальник склада. Сотрудник учёта тары ведёт записи, контролёр подтверждает массу и габариты используемых типов.</w:t>
      </w:r>
    </w:p>
    <w:p>
      <w:r>
        <w:t>Критерии качества: тара соответствует реально используемым средствам, её вес учитывается один раз, вложенные шиппинг-коды имеют однозначного родителя. Изменение формата отражается в расчёте веса, объёма и вместимости автомобиля.</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Смена ричтраков начинается и заканчивается на два часа раньше основной смены; графики позволяют обеспечить назначенные волны.</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монопаллет и паллет со штрихкодом хранения, критерии качества и условия повторной проверки.</w:t>
      </w:r>
    </w:p>
    <w:p>
      <w:r>
        <w:t>За справочник отвечает руководитель качества. Специалист службы качества вносит правила; администратор WMS настраивает их применение и проверяет вместе с контролёром.</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Состав, строки и количества принятого заказа сохраняются; последующая корректировка из ERP не изменяет складские задания.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доступным источником не считаются.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pPr>
        <w:pStyle w:val="Heading1"/>
      </w:pPr>
      <w:r>
        <w:t>Документы проекта</w:t>
      </w:r>
    </w:p>
    <w:p>
      <w:r>
        <w:t>Описание процессов учитывает порядок работы, установленный 6 октября 2026 года, требования к WMS и TMS Никора,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Никора</dc:title>
  <dc:subject>Транспортный план и организация комплектации по волнам</dc:subject>
  <dc:creator/>
  <cp:keywords>Никора,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