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габаритам упаковки, допустимым массе и высоте и последовательности укладки. Состав закрепляется за плановым идентификатором паллеты или ролл-кейджа независимо от конкретных ячеек SKU. Транспортный логист использует этот расчёт для назначения рейсов и формата сборки. Перед запуском волны источники уточняются по фактическому резерву и завершённому пополнению. Изменение количества или формата мест возвращается логисту для проверки загрузки до запуска затронутой сборки.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допустимые массу и габариты, совместимость и устойчивость итоговой укладки. Исходные места разных подскладов объединяются только при сохранении условий обращения с товаром. Если утверждённый состав невозможно разместить в предусмотренном формате, группа экспедиции сообщает логисту фактическую причину; итоговые места и загрузка рейса уточняются с сохранением состава и прослеживаемости.</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формат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Логист использует расчёт для загрузки автомобиля и назначения времени комплектации. Инициатором складского исполнения остаётся транспортный план.</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массу и высоту итогового места. Сумма объёмов сама по себе не подтверждает возможность укладки. Если коробка не подходит по размерам либо товар нельзя устойчиво собрать в заданном формате, WMS предусматривает другое грузовое место и возвращает результат транспортному логисту для проверки загрузки.</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