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/>
        </w:rPr>
        <w:t>NIKORA: требования и выбор WMS/TMS для retail</w:t>
      </w:r>
    </w:p>
    <w:p>
      <w:r>
        <w:t>Версия 1.0 · 16.09.2026 · проект RFP для согласования.</w:t>
      </w:r>
    </w:p>
    <w:p>
      <w:r>
        <w:t>Результат: функциональный стандарт и архитектура WMS отдельно от TMS; бизнес-процессы сети; два взвешенных опросника; заполненная предварительная оценка 9 WMS и 9 TMS; сценарии доказательной приёмки.</w:t>
      </w:r>
    </w:p>
    <w:p>
      <w:pPr>
        <w:pStyle w:val="Heading1"/>
      </w:pPr>
      <w:r>
        <w:t>Документы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5112"/>
        <w:gridCol w:w="5112"/>
      </w:tblGrid>
      <w:tr>
        <w:tc>
          <w:tcPr>
            <w:tcW w:type="dxa" w:w="5112"/>
            <w:vAlign w:val="center"/>
            <w:shd w:fill="1F4E78"/>
          </w:tcPr>
          <w:p>
            <w:r>
              <w:rPr>
                <w:b/>
                <w:color w:val="FFFFFF"/>
                <w:sz w:val="15"/>
              </w:rPr>
              <w:t>Файл</w:t>
            </w:r>
          </w:p>
        </w:tc>
        <w:tc>
          <w:tcPr>
            <w:tcW w:type="dxa" w:w="5112"/>
            <w:vAlign w:val="center"/>
            <w:shd w:fill="1F4E78"/>
          </w:tcPr>
          <w:p>
            <w:r>
              <w:rPr>
                <w:b/>
                <w:color w:val="FFFFFF"/>
                <w:sz w:val="15"/>
              </w:rPr>
              <w:t>Содержание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b w:val="0"/>
                <w:color w:val="000000"/>
                <w:sz w:val="15"/>
              </w:rPr>
              <w:t>Требования по функциональности</w:t>
            </w:r>
          </w:p>
        </w:tc>
        <w:tc>
          <w:tcPr>
            <w:tcW w:type="dxa" w:w="5112"/>
            <w:vAlign w:val="center"/>
          </w:tcPr>
          <w:p>
            <w:r>
              <w:rPr>
                <w:b w:val="0"/>
                <w:color w:val="000000"/>
                <w:sz w:val="15"/>
              </w:rPr>
              <w:t>48 требований WMS и 40 TMS, границы ERP/WMS/TMS, приоритет внедрения</w:t>
            </w:r>
          </w:p>
        </w:tc>
      </w:tr>
      <w:tr>
        <w:tc>
          <w:tcPr>
            <w:tcW w:type="dxa" w:w="5112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Архитектура и бизнес-процессы</w:t>
            </w:r>
          </w:p>
        </w:tc>
        <w:tc>
          <w:tcPr>
            <w:tcW w:type="dxa" w:w="5112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8 AW + 8 AT требований, 12 процессов, 12 семейств сообщений, owners, рабочие места и предлагаемые SLO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b w:val="0"/>
                <w:color w:val="000000"/>
                <w:sz w:val="15"/>
              </w:rPr>
              <w:t>Опросник вендора WMS</w:t>
            </w:r>
          </w:p>
        </w:tc>
        <w:tc>
          <w:tcPr>
            <w:tcW w:type="dxa" w:w="5112"/>
            <w:vAlign w:val="center"/>
          </w:tcPr>
          <w:p>
            <w:r>
              <w:rPr>
                <w:b w:val="0"/>
                <w:color w:val="000000"/>
                <w:sz w:val="15"/>
              </w:rPr>
              <w:t>48 вопросов, вес каждого, приоритет и проверка; сумма 100%</w:t>
            </w:r>
          </w:p>
        </w:tc>
      </w:tr>
      <w:tr>
        <w:tc>
          <w:tcPr>
            <w:tcW w:type="dxa" w:w="5112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Опросник вендора TMS</w:t>
            </w:r>
          </w:p>
        </w:tc>
        <w:tc>
          <w:tcPr>
            <w:tcW w:type="dxa" w:w="5112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40 вопросов, вес каждого, приоритет и проверка; сумма 100%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b w:val="0"/>
                <w:color w:val="000000"/>
                <w:sz w:val="15"/>
              </w:rPr>
              <w:t>Методика оценки</w:t>
            </w:r>
          </w:p>
        </w:tc>
        <w:tc>
          <w:tcPr>
            <w:tcW w:type="dxa" w:w="5112"/>
            <w:vAlign w:val="center"/>
          </w:tcPr>
          <w:p>
            <w:r>
              <w:rPr>
                <w:b w:val="0"/>
                <w:color w:val="000000"/>
                <w:sz w:val="15"/>
              </w:rPr>
              <w:t>Шкала 0–5, неопределённость, stop-gates, процедура выбора</w:t>
            </w:r>
          </w:p>
        </w:tc>
      </w:tr>
      <w:tr>
        <w:tc>
          <w:tcPr>
            <w:tcW w:type="dxa" w:w="5112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Заполненный опросник WMS</w:t>
            </w:r>
          </w:p>
        </w:tc>
        <w:tc>
          <w:tcPr>
            <w:tcW w:type="dxa" w:w="5112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432 предварительных ответа, источники и адресные вопросы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b w:val="0"/>
                <w:color w:val="000000"/>
                <w:sz w:val="15"/>
              </w:rPr>
              <w:t>Заполненный опросник TMS</w:t>
            </w:r>
          </w:p>
        </w:tc>
        <w:tc>
          <w:tcPr>
            <w:tcW w:type="dxa" w:w="5112"/>
            <w:vAlign w:val="center"/>
          </w:tcPr>
          <w:p>
            <w:r>
              <w:rPr>
                <w:b w:val="0"/>
                <w:color w:val="000000"/>
                <w:sz w:val="15"/>
              </w:rPr>
              <w:t>360 предварительных ответов, источники и адресные вопросы</w:t>
            </w:r>
          </w:p>
        </w:tc>
      </w:tr>
      <w:tr>
        <w:tc>
          <w:tcPr>
            <w:tcW w:type="dxa" w:w="5112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Приёмка D01–D12</w:t>
            </w:r>
          </w:p>
        </w:tc>
        <w:tc>
          <w:tcPr>
            <w:tcW w:type="dxa" w:w="5112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Одинаковое демо на данных NIKORA, негативные случаи, нагрузка и пилоты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b w:val="0"/>
                <w:color w:val="000000"/>
                <w:sz w:val="15"/>
              </w:rPr>
              <w:t>Текущий проект и GAP</w:t>
            </w:r>
          </w:p>
        </w:tc>
        <w:tc>
          <w:tcPr>
            <w:tcW w:type="dxa" w:w="5112"/>
            <w:vAlign w:val="center"/>
          </w:tcPr>
          <w:p>
            <w:r>
              <w:rPr>
                <w:b w:val="0"/>
                <w:color w:val="000000"/>
                <w:sz w:val="15"/>
              </w:rPr>
              <w:t>Как организованы требования/кодовая архитектура; reuse и недостающие доказательства</w:t>
            </w:r>
          </w:p>
        </w:tc>
      </w:tr>
      <w:tr>
        <w:tc>
          <w:tcPr>
            <w:tcW w:type="dxa" w:w="5112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Источники и практики других сетей</w:t>
            </w:r>
          </w:p>
        </w:tc>
        <w:tc>
          <w:tcPr>
            <w:tcW w:type="dxa" w:w="5112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Материалы NIKORA, официальные vendor/GS1/Gartner источники, Asda/REWE/Hy-Vee/PLUS и другие примеры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b w:val="0"/>
                <w:color w:val="000000"/>
                <w:sz w:val="15"/>
              </w:rPr>
              <w:t>Публикация и проверка</w:t>
            </w:r>
          </w:p>
        </w:tc>
        <w:tc>
          <w:tcPr>
            <w:tcW w:type="dxa" w:w="5112"/>
            <w:vAlign w:val="center"/>
          </w:tcPr>
          <w:p>
            <w:r>
              <w:rPr>
                <w:b w:val="0"/>
                <w:color w:val="000000"/>
                <w:sz w:val="15"/>
              </w:rPr>
              <w:t>Ссылки на облачные копии и результат проверки файлов</w:t>
            </w:r>
          </w:p>
        </w:tc>
      </w:tr>
    </w:tbl>
    <w:p/>
    <w:p>
      <w:pPr>
        <w:pStyle w:val="Heading1"/>
      </w:pPr>
      <w:r>
        <w:t>Ключевые выводы</w:t>
      </w:r>
    </w:p>
    <w:p>
      <w:pPr>
        <w:pStyle w:val="ListNumber"/>
      </w:pPr>
      <w:r>
        <w:t>WMS управляет физическим запасом, составом грузомест и складским исполнением; TMS — сетевым планом, плечами, слотами, маршрутами и доставкой. ERP остаётся владельцем заказов/коммерческих данных и финансового учёта.</w:t>
      </w:r>
    </w:p>
    <w:p>
      <w:pPr>
        <w:pStyle w:val="ListNumber"/>
      </w:pPr>
      <w:r>
        <w:t>Для NIKORA недостаточно функции «crossdock» в каталоге. Нужны доказанные связи между разными WMS, plan/fact без двойного объёма, backward-readyBy, магазинами/календарями, качеством, HU genealogy и POD.</w:t>
      </w:r>
    </w:p>
    <w:p>
      <w:pPr>
        <w:pStyle w:val="ListNumber"/>
      </w:pPr>
      <w:r>
        <w:t>Интеграция первой: XML master+orders, бизнес-факты, durable inbox/outbox, сверка приход/расход/внутреннее перемещение/инвентаризация и четыре исходящих ERP milestone.</w:t>
      </w:r>
    </w:p>
    <w:p>
      <w:pPr>
        <w:pStyle w:val="ListNumber"/>
      </w:pPr>
      <w:r>
        <w:t>Самые рискованные WMS-кейсы: плавающий вес, неполный короб, FEFO на дату доставки, replenishment под волну, два прохода контроля, версия допуска, split по шву vs произвольный repack.</w:t>
      </w:r>
    </w:p>
    <w:p>
      <w:pPr>
        <w:pStyle w:val="ListNumber"/>
      </w:pPr>
      <w:r>
        <w:t>Текущий проект имеет полезную базу; заменять ядро или вводить микросервисы автоматически не требуется. Нужен gap по фактам и инвариантам, а не по сходству названий модулей.</w:t>
      </w:r>
    </w:p>
    <w:p>
      <w:pPr>
        <w:pStyle w:val="ListNumber"/>
      </w:pPr>
      <w:r>
        <w:t>Нет доказанного «победителя рынка». Заполнение по вендорам — desk research, не подписанный ответ и не тест. Публичные заявления не превращены в выдуманные баллы.</w:t>
      </w:r>
    </w:p>
    <w:p>
      <w:pPr>
        <w:pStyle w:val="Heading1"/>
      </w:pPr>
      <w:r>
        <w:t>Системы в сравнении</w:t>
      </w:r>
    </w:p>
    <w:p>
      <w:r>
        <w:t>WMS: SAP EWM, Infor WMS, Manhattan Active WM, AXELOT WMS X5 + Blue Yonder, Oracle WMS Cloud, Infios WMS (конкретный продукт уточнить), EPG LFS, Mecalux Easy WMS.</w:t>
      </w:r>
    </w:p>
    <w:p>
      <w:r>
        <w:t>TMS: SAP TM, Infor Nexus Global TMS, Manhattan Active TM, AXELOT TMS + Blue Yonder, Oracle OTM, Infios TMS, e2open, Alpega.</w:t>
      </w:r>
    </w:p>
    <w:p>
      <w:r>
        <w:t>Пять дополнительных кандидатов в каждом домене подтверждены соответствующими публичными списками Gartner 2026. Это не присвоение им одинакового квадранта и не закрытая оценка Gartner.</w:t>
      </w:r>
    </w:p>
    <w:p>
      <w:pPr>
        <w:pStyle w:val="Heading1"/>
      </w:pPr>
      <w:r>
        <w:t>Как применять</w:t>
      </w:r>
    </w:p>
    <w:p>
      <w:r>
        <w:t>Логистика/качество/розница/IT/финансы утверждают requirements и веса → вендоры дают построчный fit-gap/BoM → одинаковые D01–D12 → пилот → коммерческое и архитектурное решение. Для WMS/TMS одного вендора межсистемный тест всё равно обязателен.</w:t>
      </w:r>
    </w:p>
    <w:p>
      <w:r>
        <w:t>Технический ранний пилот (2 источника, 3–5 магазинов, целые HU) и бизнес-пилот (4 категории, 20–30 магазинов) имеют разные цели. Первый не заменяет приёмку всех обязательных M-требований.</w:t>
      </w:r>
    </w:p>
    <w:p>
      <w:pPr>
        <w:pStyle w:val="Heading1"/>
      </w:pPr>
      <w:r>
        <w:t>Хранение и границы работы</w:t>
      </w:r>
    </w:p>
    <w:p>
      <w:r>
        <w:t>Локально: C:/projects/TMS/wiki/requirements/nikora_retail_selection/.</w:t>
      </w:r>
    </w:p>
    <w:p>
      <w:r>
        <w:t>Облачная папка: Demands to WMS and TMS.</w:t>
      </w:r>
    </w:p>
    <w:p>
      <w:r>
        <w:t>Существующий код, Oracle, планы спринтов и чужие изменения рабочего дерева не изменялись. Коммит/push, запуск агентов, обращение к вендорам и изменение прав Google Drive не выполнялись. Ссылки между MD локальные; для чтения в браузере используйте облачные ссылки из publication.md. Документы содержат внутренний анализ NIKORA: права доступа наследуются от указанной пользователем папки.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NIKORA: требования и выбор WMS/TMS для retail</dc:title>
  <dc:subject/>
  <dc:creator>NIKORA requirements working group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