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Архитектура решений и бизнес-процессов WMS/TMS — retail / NIKORA</w:t>
      </w:r>
    </w:p>
    <w:p>
      <w:r>
        <w:t>Версия 1.0 · 16.09.2026. Требования заказчика; параметры SLO ниже — предложения на согласование, не измеренные характеристики сети.</w:t>
      </w:r>
    </w:p>
    <w:p>
      <w:pPr>
        <w:pStyle w:val="Heading1"/>
      </w:pPr>
      <w:r>
        <w:t>1. Принцип Оккама</w:t>
      </w:r>
    </w:p>
    <w:p>
      <w:r>
        <w:t>Минимум независимых источников истины и расширений. Не требовать одновременно event sourcing, микросервисы, Kafka и отдельный BPM-движок только ради соответствия рынку. Допустимы модульный монолит, поддерживаемое промышленное приложение или SaaS, если доказаны транзакции, изоляция, производительность, восстановление и переносимость. API-first не означает «всё должно работать через синхронный HTTP».</w:t>
      </w:r>
    </w:p>
    <w:p>
      <w:r>
        <w:t>В текущем проекте сохраняются Oracle/PLSQL-правила, существующие волны, складские задачи, ресурсные сессии, API и ТСД. У коммерческого вендора требуется эквивалентная семантика, а не таблицы RRL или конкретный язык программирования.</w:t>
      </w:r>
    </w:p>
    <w:p>
      <w:pPr>
        <w:pStyle w:val="Heading1"/>
      </w:pPr>
      <w:r>
        <w:t>2. Логические контуры</w:t>
      </w:r>
    </w:p>
    <w:p>
      <w:r>
        <w:t>```text</w:t>
      </w:r>
    </w:p>
    <w:p>
      <w:r>
        <w:t>ERP / MDM / store order</w:t>
      </w:r>
    </w:p>
    <w:p>
      <w:r>
        <w:t>│ master, orders, corrections</w:t>
      </w:r>
    </w:p>
    <w:p>
      <w:r>
        <w:t>▼</w:t>
      </w:r>
    </w:p>
    <w:p>
      <w:r>
        <w:t>Интеграционные адаптеры: inbox → domain transaction → outbox → ACK/reconcile</w:t>
      </w:r>
    </w:p>
    <w:p>
      <w:r>
        <w:t>│                          │</w:t>
      </w:r>
    </w:p>
    <w:p>
      <w:r>
        <w:t>▼                          ▼</w:t>
      </w:r>
    </w:p>
    <w:p>
      <w:r>
        <w:t>WMS источников ← readyBy/plan → головная TMS ← POD → магазин/получатель</w:t>
      </w:r>
    </w:p>
    <w:p>
      <w:r>
        <w:t>│                           │</w:t>
      </w:r>
    </w:p>
    <w:p>
      <w:r>
        <w:t>│ physical HU/facts         │ wave/leg/slot/sequence</w:t>
      </w:r>
    </w:p>
    <w:p>
      <w:r>
        <w:t>▼                           ▼</w:t>
      </w:r>
    </w:p>
    <w:p>
      <w:r>
        <w:t>WMS консолидации: приёмка → линия → HU/контроль → погрузка</w:t>
      </w:r>
    </w:p>
    <w:p>
      <w:r>
        <w:t>│</w:t>
      </w:r>
    </w:p>
    <w:p>
      <w:r>
        <w:t>└── факты + версии → TMS → подтверждённые бизнес-события ERP</w:t>
      </w:r>
    </w:p>
    <w:p>
      <w:r>
        <w:t>```</w:t>
      </w:r>
    </w:p>
    <w:p>
      <w:r>
        <w:t>Схема логическая: адаптеры могут размещаться рядом с продуктами. Одна транзакция БД не охватывает внешние WMS/ERP; сквозная согласованность достигается повторяемыми командами, фактами и сверкой, а не обещанием distributed exactly-once.</w:t>
      </w:r>
    </w:p>
    <w:p>
      <w:pPr>
        <w:pStyle w:val="Heading1"/>
      </w:pPr>
      <w:r>
        <w:t>3. Требования к архитектуре WMS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 и граница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Приёмочное доказательство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AW01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Физический ledger/остаток, резерв и доступность разделены; атомарные движения по измерениям owner/SKU/lot/location/HU/UoM.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Конкурентный отбор и повтор операции не создают отрицательный/двойной запас; W11–W15.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AW02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HU имеет внутренний стабильный ключ, namespace/external ID, тип идентификатора, состав и contentVersion. SSCC не единственно допустимый код.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Legacy ID и GS1 SSCC проходят один процесс без подмены стандарта; W27.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AW03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Активная вложенность — дерево/лес без циклов и двух родителей; история repack — отдельный граф происхождения.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Агрегация/разделение/перепаковка сохраняют количество, партии и принадлежность; W29–W31.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AW04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Quality release привязан к версии состава; независимые факты сканов/осмотра/веса с авторами.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Изменение состава лишает прежний допуск применимости; W22–W25.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AW05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Единая модель заданий, ресурсов, claim и domain completion; ТСД не владеет отдельным «истинным» статусом.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ACK выдаётся после durable факта; повтор/конкурентный claim безопасны; W37–W40.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AW06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Версионируемые правила размещения, FEFO, replenishment, wave; опубликованная топология отделена от черновика.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Активная волна воспроизводима с прежней конфигурацией; смена стратегии не портит историю.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AW07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Внешние команды не обходят доменные инварианты; staging/адаптеры отделены от stock core.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Повтор XML и ручная операция дают одинаковые проверки; W41–W43.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AW08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Catch weight хранит независимые фактические меры; единицы и точность согласованы во всех интерфейсах.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Сквозной баланс шт./кг через приёмку, отбор, repack, возврат и ERP; W13.</w:t>
            </w:r>
          </w:p>
        </w:tc>
      </w:tr>
    </w:tbl>
    <w:p/>
    <w:p>
      <w:r>
        <w:t>Оборотный ролл-кейдж — постоянный актив; его текущая логистическая единица с SSCC — временный состав. Нельзя переносить жизненный цикл маркировочного агрегата CRPT на любой складской HU без анализа различий.</w:t>
      </w:r>
    </w:p>
    <w:p>
      <w:pPr>
        <w:pStyle w:val="Heading1"/>
      </w:pPr>
      <w:r>
        <w:t>4. Требования к архитектуре TMS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 и граница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Приёмочное доказательство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AT01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Order и стабильная FulfillmentPart отделены от изменяемого транспортного разбиения; ссылки на исходные строки сохраняются.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Повторный план не создаёт новый физический спрос; T02–T03.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AT02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Network/Leg/Trip/Stop/CargoAssignment описывают многоплечевую перевозку; custody и факт относятся к плечу.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Приёмка hub не превращается в store delivery; T07, T16, T21.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AT03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OutboundWave имеет дату обслуживания, версию, freeze и правила поздних изменений; локальная pick-wave WMS — другой объект.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Конкурентные replan и loaded HU не теряют назначения; T10–T15.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AT04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Solver читает ограниченный снимок, создаёт кандидат; operational commit проходит hard validator, версии и авторизацию.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Неуспешная оптимизация не меняет рабочий план; недопустимый ручной план также запрещён; T06–T10.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AT05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Плановая оценка и факт объёма хранятся отдельно с покрытием forecast фактическими частями.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PLAN=10, fact=8 не становится 18; ACTUAL_ONLY не бронируется преждевременно.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AT06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TMS не меняет stock/HU-состав WMS и не считает свой outbound ACK фактом физической операции.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Зависший target adapter виден, состояние не перескакивает в RECEIVED.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AT07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Плановая ёмкость дока и линии подтверждается WMS/YMS; один authoritative calendar, не два независимых бронирования.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Два логиста не выпускают конфликтующие слоты; T12.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AT08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ERP milestones формируются из явных business facts; биллинг отделён от execution и от оплаты ERP.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Частичная доставка/отказ/оплаченный рейс обрабатываются корректировкой, не переписыванием истории.</w:t>
            </w:r>
          </w:p>
        </w:tc>
      </w:tr>
    </w:tbl>
    <w:p/>
    <w:p>
      <w:pPr>
        <w:pStyle w:val="Heading1"/>
      </w:pPr>
      <w:r>
        <w:t>5. Обязательная интеграционная матрица</w:t>
      </w:r>
    </w:p>
    <w:p>
      <w:r>
        <w:t>XML — внешний контракт NIKORA, а не требование, чтобы внутренности каждой системы использовали XML. Допустим адаптер XML↔нативное API, если он включён в цену, мониторинг и поддержку. «Интеграция с внешней базой» означает обмен через её прикладной сервис/адаптер; прямые записи в таблицы чужой ERP/WMS запрещаются. Read-only выгрузка или CDC возможны по договору, но не заменяют бизнес-ACK и обратные операции.</w:t>
      </w:r>
    </w:p>
    <w:p>
      <w:r>
        <w:t>Названия ниже — логические семейства сообщений, не новая редакция wire-schema. Перед реализацией сопоставить их с NIKORA XML v1.1.0 и оформить недостающие поля как совместимое расширение.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Поток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Источник → получатель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Содержание / результат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IX01 Master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ERP/MDM → WMS/TMS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Магазины/адреса/GLN, организации/владельцы, склады, SKU/GTIN/UoM/упаковки, габариты/масса/температура, календари, effectiveFrom/version.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IX02 Orders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ERP → WMS/TMS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OrderManifest/строки/количество/шт.+кг/окно/политика частичного исполнения; изменение/отмена, стабильные внешние ключи.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IX03 ASN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Поставщик/source WMS → target WMS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План прихода, заказ, HU/состав/лот/партия/срок/документ. TMS получает транспортный срез.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IX04 AssemblyPlan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WMS → 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План сборки по части/магазину, expectedReadyAt/объём/режим/версия, без фиктивного SSCC факта.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IX05 AssemblyActual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WMS → TMS/ERP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Факт по HU и строке, количество, contentVersion, качество отдельно; логическое ORDER_ASSEMBLED.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IX06 TransportPlan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TMS → source/target WMS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Плечи/рейсы, readyBy, arrivalBy, wave/gate/line, source loading и target unloading sequence, planVersion/freeze.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IX07 MovementPlanned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TMS → ERP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INTERNAL_MOVEMENT_PLANNED, исходный и целевой склад, части/даты/статус/версия. Может появляться до сборки.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IX08 Load/Departure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WMS/диспетчер → TMS → ERP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LOADED и DEPARTED отдельно; ORDER_IN_TRANSIT только по выезду с указанием плеча, времени, количества.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IX09 HubReceipt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Target WMS → TMS/ERP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Принято/отказано/недостача по HU/строкам; это не доставка магазину.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IX10 HU/Quality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WMS → TMS/потребители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Агрегация/разагрегация/repack, lineage, новый состав, quality release/HOLD, связь с перевозкой.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IX11 StoreReceipt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Store/POD → TMS → ERP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ORDER_DELIVERED_TO_STORE по подтверждённой приёмке; частичность, отказ/недостача, receivedQty, получатель, подтверждение.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IX12 Reconciliation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WMS/TMS ↔ ERP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Приход, расход, внутреннее перемещение, инвентаризация/коррекция, возврат/тара; контроль документов, движений, остатков и застрявших сообщений.</w:t>
            </w:r>
          </w:p>
        </w:tc>
      </w:tr>
    </w:tbl>
    <w:p/>
    <w:p>
      <w:pPr>
        <w:pStyle w:val="Heading2"/>
      </w:pPr>
      <w:r>
        <w:t>Транспортные гарантии</w:t>
      </w:r>
    </w:p>
    <w:p>
      <w:r>
        <w:t>Обязательные envelope-поля: messageId, sourceSystem, schemaVersion, entityId/entityVersion, correlationId, eventType, occurredAt и receivedAt, timezone/UTC, payload hash; в деталях warehouse/owner/order/orderLine/fulfillmentPart/HU/contentVersion/leg и UoM по типу события. Пустое поле не превращать в нулевой факт.</w:t>
      </w:r>
    </w:p>
    <w:p>
      <w:pPr>
        <w:pStyle w:val="ListBullet"/>
      </w:pPr>
      <w:r>
        <w:t>Transport ACK подтверждает durable получение, business ACK — принятие доменом; HTTP 202 не означает завершение операции.</w:t>
      </w:r>
    </w:p>
    <w:p>
      <w:pPr>
        <w:pStyle w:val="ListBullet"/>
      </w:pPr>
      <w:r>
        <w:t>Один ID + тот же hash → прежний результат. Один ID + другой hash → конфликт/quarantine.</w:t>
      </w:r>
    </w:p>
    <w:p>
      <w:pPr>
        <w:pStyle w:val="ListBullet"/>
      </w:pPr>
      <w:r>
        <w:t>Устаревшая версия не откатывает новую; будущая ждёт зависимости либо явно отклоняется по контракту.</w:t>
      </w:r>
    </w:p>
    <w:p>
      <w:pPr>
        <w:pStyle w:val="ListBullet"/>
      </w:pPr>
      <w:r>
        <w:t>Изменение домена и outbox атомарны. После падения повторная доставка допускается; повторный бизнес-эффект — нет.</w:t>
      </w:r>
    </w:p>
    <w:p>
      <w:pPr>
        <w:pStyle w:val="ListBullet"/>
      </w:pPr>
      <w:r>
        <w:t>Таймауты, retries с backoff, DLQ, replay с правами/причиной, архив payload по согласованной политике.</w:t>
      </w:r>
    </w:p>
    <w:p>
      <w:pPr>
        <w:pStyle w:val="ListBullet"/>
      </w:pPr>
      <w:r>
        <w:t>При неизвестном master заказ ожидает исправления; ручной replay не обходит бизнес-валидацию.</w:t>
      </w:r>
    </w:p>
    <w:p>
      <w:pPr>
        <w:pStyle w:val="ListBullet"/>
      </w:pPr>
      <w:r>
        <w:t>XML parser: отключить DTD/external entities, лимитировать размер/глубину, XSD/семантическая проверка; TLS, авторизация партнёров, секреты вне payload/log.</w:t>
      </w:r>
    </w:p>
    <w:p>
      <w:pPr>
        <w:pStyle w:val="ListBullet"/>
      </w:pPr>
      <w:r>
        <w:t>Сверка не реже суточного закрытия плюс оперативно перед выпуском волны: missing/duplicate/stale/unmatched и ответственность. Проверять четыре типа складских движений, а не только четыре исходящих ERP milestone.</w:t>
      </w:r>
    </w:p>
    <w:p>
      <w:pPr>
        <w:pStyle w:val="Heading1"/>
      </w:pPr>
      <w:r>
        <w:t>6. Архитектура бизнес-процессов</w:t>
      </w:r>
    </w:p>
    <w:p>
      <w:r>
        <w:t>Уровни: L0 «снабжение магазина» → L1 supply/warehouse/crossdock/transport/returns → L2 процессы ниже → L3 инструкции рабочего места. Для каждого процесса: owner, trigger, входной документ, preconditions, роли, разрешённые переходы, контрольные точки, события, SLA, исключения, компенсация, KPI и evidence. BPMN со swimlanes нужен при формальном проектировании; отдельный BPM-движок необязателен.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Процесс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Ответственный бизнес-владелец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Триггер → проверяемый результат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Главный контроль / требования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BP01 Master governance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Владелец MDM + коммерция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Новый товар/магазин → опубликованная версия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Упаковка/температура/геокод; W01–05, T01–04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BP02 Store calendar/order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Коммерция + розничная логистика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Потребность → согласованный день/заказ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 держать свежий товар ради другого дня; T01–03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BP03 Receipt/QA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Начальник приёмки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ASN/машина → принятый либо карантинный запас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Неполный короб/вес/срок; W06–10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BP04 Replenish/pick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Начальник смены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Заказ/deadline → собранная часть/HU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FEFO, резерв, пополнение, недостача; W11–21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BP05 Quality release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Руководитель качества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Сборка → допуск по contentVersion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Два прохода по политике, вес/осмотр; W22–26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BP06 Cross-site planning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Сетевой логист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Заказы + plan/fact → выпущенная транспортная волна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Ёмкость/температура/readyBy/freeze; T06–15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BP07 Source dispatch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Начальник источника + диспетчер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Выпущенный план → loaded/departed HU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Правильные ворота/рейс/очередь; W32–33, T16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BP08 Hub consolidation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Начальник кроссдока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Arrival/ASN → проверенный состав исходящего HU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Линия/магазин/агрегация/срок ожидания; W27–31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BP09 Last-mile execution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Транспортный диспетчер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Выезд → факты стопов/исключений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Окна/ETA/холод/остаточная вместимость; T16–20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BP10 Store receipt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Управляющий магазина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Прибытие → POD/отказ/расхождение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Факт получателя, не GPS/статус водителя; T21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BP11 Returns/assets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Руководитель возвратов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Возврат/тара → решение/ответственность/учёт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Карантин, собственник, assetId; W34–36, T22–23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BP12 Reconcile/settle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Финансы + IT integration owner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Закрытие суток/рейса → согласованный учёт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Документы/остатки/счета/ошибки; W41–42, T26–33</w:t>
            </w:r>
          </w:p>
        </w:tc>
      </w:tr>
    </w:tbl>
    <w:p/>
    <w:p>
      <w:r>
        <w:t>Логистика отвечает за правила и приёмку процесса; IT — за реализацию/эксплуатацию; вендор — за договорный компонент; финансы — за учёт. Нельзя передавать всю ответственность за процесс внешнему интегратору.</w:t>
      </w:r>
    </w:p>
    <w:p>
      <w:pPr>
        <w:pStyle w:val="Heading2"/>
      </w:pPr>
      <w:r>
        <w:t>Обратное расписание</w:t>
      </w:r>
    </w:p>
    <w:p>
      <w:r>
        <w:t>Для последовательного критического пути: readyBy_source = departure_final − load_final − consolidation − unload_hub − buffer_hub − travel_source_hub − load_source − buffer_source. Отдельно вычисляется assemblyStart = readyBy_source − assemblyDuration. Параллельные операции допускают другой critical path; формула не заменяет ресурсный календарь.</w:t>
      </w:r>
    </w:p>
    <w:p>
      <w:r>
        <w:t>Длительности зависят от объёма, ворот, бригады, погрузчика и окна, а travel time — от направления/времени суток. Если результат в прошлом или пересекает недоступный ресурс — план infeasible, требуется решение логиста, не скрытое нарушение.</w:t>
      </w:r>
    </w:p>
    <w:p>
      <w:pPr>
        <w:pStyle w:val="Heading2"/>
      </w:pPr>
      <w:r>
        <w:t>Состояния и компенсации</w:t>
      </w:r>
    </w:p>
    <w:p>
      <w:r>
        <w:t>Товар: EXPECTED → RECEIVED → AVAILABLE/QUALITY_HOLD → RESERVED → PICKED → QA_RELEASED → STAGED → LOADED → DEPARTED. Конкретный поток может пропускать хранение/отбор в crossdock, но не доказательство факта. Состояние качества ортогонально местоположению.</w:t>
      </w:r>
    </w:p>
    <w:p>
      <w:r>
        <w:t>План: DRAFT → VALIDATED → APPROVED/FROZEN → EXECUTING → COMPLETED/PARTIAL/CANCELLED. Повторное планирование создаёт новую версию и сохраняет физические факты. Отмена до pickup освобождает резерв; после pickup требует физического drop/возвратного действия; после departure создаёт новый маршрут/возврат; после финансового закрытия — корректирующий документ.</w:t>
      </w:r>
    </w:p>
    <w:p>
      <w:pPr>
        <w:pStyle w:val="Heading1"/>
      </w:pPr>
      <w:r>
        <w:t>7. Рабочие места и требования к взаимодействию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Главная задача экрана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Начальник склада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Волны, ресурсы, готовность и исключения; минимум отвлекающих KPI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Приёмщик / инвентаризатор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ASN/ячейка/HU, скан/вес/расхождение, явное подтверждение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Сборщик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Адрес → товар → количество → место, один фокус; без меню на каждую строку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Контролёр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Независимый проход, осмотр и вес; не показывать ожидаемый ответ там, где требуется blind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Ричтрак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Одна следующая задача, pickup/drop/ACK, крупная ошибка, нет небезопасного ввода при движении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Диспетчер техники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Очереди, приоритет, starvation, занятость/смены, передача только через контролируемый handover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Логист кроссдока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Прибытия, линии, ожидаемые/принятые части, dwell и пересборка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Транспортный консолидатор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Магазин/день/совместимость, plan/fact, freeze и остаточные части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Маршрутный логист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Карта/Гант, ограничения, непринятые заказы, объяснение solver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Водитель / магазин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Следующая остановка / приёмка, HU, расхождение, POD и тара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Специалист интеграций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Корреляция сообщения и документа, ACK, DLQ, replay, сверка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QA/возвраты / MDM / support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Соответственно допуски и причины / качество данных / диагностика и восстановление</w:t>
            </w:r>
          </w:p>
        </w:tc>
      </w:tr>
    </w:tbl>
    <w:p/>
    <w:p>
      <w:r>
        <w:t>Подробные локальные макеты и требования 15 рабочих мест, контроль, ричтрак, диспетчер техники — вход в RFP, не доказательство реализации. Вендор показывает свои реальные экраны и измеряемое число действий.</w:t>
      </w:r>
    </w:p>
    <w:p>
      <w:pPr>
        <w:pStyle w:val="Heading1"/>
      </w:pPr>
      <w:r>
        <w:t>8. Нефункциональные условия для согласования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Предлагаемый стартовый критерий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фиксировать в договоре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ТСД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p95 ≤ 1 сек на подтверждение, p99 ≤ 2 сек при согласованном профиле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Включает Wi-Fi/API/БД; печать и аппаратное измерение отдельно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Операторский список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p95 ≤ 2 сек на ограниченную страницу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Фильтры, размер страницы, число конкурентных пользователей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XML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100% принятых durable сообщений прослеживаются до business ACK/ошибки; 0 потерянных бизнес-эффектов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Сеть/партнёр вне SLA обработки; latency p95 и максимальный возраст очереди отдельно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Solver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Согласовать лимит, например 5 минут для пилотного набора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Размер задач, time budget, feasible fallback, не обещание optimum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Нагрузка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Пик обследованной смены × 1,5 + длительный 12-часовой прогон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SKU, строки/час, сканы/сек, HU, stop count, пользователи, retention; не только среднесуточные паллеты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Доступность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Предлагается 99,9% за согласованное окно сервиса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Плановые окна, зависимости, измерение; недостаточно для определения RTO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Восстановление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Предлагается RTO ≤ 60 минут; для подтверждённых операций целевой RPO=0 в согласованном классе отказов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Различать отказ процесса/узла и потерю площадки; доказать репликацией/восстановлением, иначе согласовать иной DR RPO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Безопасность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Least privilege, SSO/MFA для админов, TLS, защищённые секреты, audit export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Поддержка RU/KA, доступность в Грузии, data residency, хранение/удаление данных по договору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Поддержка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Ночные/выходные операции, 24×7 для P1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Пример P1 response ≤15 мин — предложение; restoration/escalation и ответственность отдельных поставщиков</w:t>
            </w:r>
          </w:p>
        </w:tc>
      </w:tr>
    </w:tbl>
    <w:p/>
    <w:p>
      <w:r>
        <w:t>После каждого значимого функционального и нагрузочного прогона — анализ самых долгих SQL/SKV. Для текущего решения: RRL_SQL_SLOW_LOG, /api/admin/slow-sql, Oracle top SQL и API audit; для SaaS — эквивалентная vendor telemetry. Каждый долгий запрос заканчивается решением: переписать, ограничить окно, batch/cache, индекс, статистика/план либо backlog с owner и обоснованием.</w:t>
      </w:r>
    </w:p>
    <w:p>
      <w:pPr>
        <w:pStyle w:val="Heading1"/>
      </w:pPr>
      <w:r>
        <w:t>9. Стандарты и локализация</w:t>
      </w:r>
    </w:p>
    <w:p>
      <w:r>
        <w:t>Использовать семантику GS1 для GLN/GTIN/SSCC и событий происхождения; GS1 Architecture, EPCIS. EPCIS — возможный стандарт обмена событиями, но не обязательная замена согласованного XML API. Legacy-коды не выдавать за валидные GS1 SSCC; хранить тип/namespace.</w:t>
      </w:r>
    </w:p>
    <w:p>
      <w:r>
        <w:t>RS.GE упомянут в обследовании; конкретный правовой состав документов и обязательства в Грузии требуют подтверждения локальным специалистом и заказчиком. Ни GDPR, ни российские нормы нельзя автоматически объявлять применимыми ко всем данным NIKORA. Доступность лицензий, сопровождения, региона облака и трансграничного доступа — отдельный договорный gate.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решений и бизнес-процессов WMS/TMS — retail / NIKORA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