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Текущий проект: организация требований и GAP к retail-стандарту</w:t>
      </w:r>
    </w:p>
    <w:p>
      <w:r>
        <w:t>Версия 1.0 · 16.09.2026. Документарный анализ wiki и результатов обследования; не новый аудит всех исходников/живой БД.</w:t>
      </w:r>
    </w:p>
    <w:p>
      <w:pPr>
        <w:pStyle w:val="Heading1"/>
      </w:pPr>
      <w:r>
        <w:t>1. Три разных «текущих состояния»</w:t>
      </w:r>
    </w:p>
    <w:p>
      <w:pPr>
        <w:pStyle w:val="ListNumber"/>
      </w:pPr>
      <w:r>
        <w:t>Физические и информационные процессы NIKORA — по обследованию складов и протоколам.</w:t>
      </w:r>
    </w:p>
    <w:p>
      <w:pPr>
        <w:pStyle w:val="ListNumber"/>
      </w:pPr>
      <w:r>
        <w:t>Наш репозиторий TMS/WMS — Oracle + legacy C# + FastAPI/React/PWA, собственные исторические тесты.</w:t>
      </w:r>
    </w:p>
    <w:p>
      <w:pPr>
        <w:pStyle w:val="ListNumber"/>
      </w:pPr>
      <w:r>
        <w:t>Целевой NIKORA-контур — требования, 41 ТЗ и 21 crossdock-инкремент.</w:t>
      </w:r>
    </w:p>
    <w:p>
      <w:r>
        <w:t>Их нельзя смешивать. Код волновой сборки в репозитории не означает, что он внедрён в Samgori. Статус функционального теста TMS-2 в мае не доказывает приёмку межскладской NIKORA-цепочки в сентябре. Корневой onramp со «следующим Sprint 1» противоречит более позднему status 01.06; следует проверять timestamp и evidence, а не выбирать удобную формулировку.</w:t>
      </w:r>
    </w:p>
    <w:p>
      <w:pPr>
        <w:pStyle w:val="Heading1"/>
      </w:pPr>
      <w:r>
        <w:t>2. Как организованы требования сейчас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уже удобно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добавить для RFP и управления изменениями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Исходное ТЗ/Drive/XML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Бизнес-сценарий, версии внешнего обмена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Единый approval baseline и список противоречий, без бесшумной замены source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GAP G01–G22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Связь требований и локального кода/пробелов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Маппинг W/T ID и доказательств на level площадки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Минимальная архитектура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Предложены owners, новые логические объекты и транзакции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ADR и миграция только для подтверждённого gap, не заранее новая платформа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41 sprint spec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Scope, результат, тесты, author/reviewer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Связать каждый принимаемый результат с W/T ID; число спринтов не метрика покрытия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CD00–CDP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Вертикальные принимаемые срезы раннего crossdock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Разграничить технический пилот и бизнес-готовность полного scope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UI workplaces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Роли, состояния, ошибки, простые операции ТСД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Измерение действий/времени, реальная аппаратная проверка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TMS acceptance matrix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API/Oracle/UI/evidence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Повторный gate на актуальном baseline; не импортировать исторический PASS</w:t>
            </w:r>
          </w:p>
        </w:tc>
      </w:tr>
    </w:tbl>
    <w:p/>
    <w:p>
      <w:r>
        <w:t>Новая единица управления требованиями: stable ID → бизнес-процесс → владелец данных → контракт → реализация/конфигурация → тест → evidence → акт. Каталог настоящего пакета вводит W01–W48, T01–T40, AW/AT, BP и D-ID; он дополняет, не перенумеровывает существующие sprint/GAP/CD-ID.</w:t>
      </w:r>
    </w:p>
    <w:p>
      <w:pPr>
        <w:pStyle w:val="Heading1"/>
      </w:pPr>
      <w:r>
        <w:t>3. Сопоставление организации каталогов вендоров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Вендор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Как структурирована публичная функциональность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Как нормализовать в наше ТЗ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SAP EWM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Inbound, storage/internal, outbound, cross-functional; basic/advanced и deployment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Процесс + конкретный scope/лицензия + версия Help + extension fit-gap; TM отдельным продуктом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Inventory, receipt/putaway, waves/picking, VAS, 3PL, labor, platform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Разделить ядро/модули/платформу; Nexus TMS не считать включённым в WMS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Unified distribution/planning/execution/automation, общая платформа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Проверять результат конкретного процесса и редакцию, не только слово unified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Топология, вход/выход, стратегии, терминальное исполнение и SCM-компоненты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Сопоставить настройку стратегии с invariant/test; отдельно доработки 1С и внешние компоненты</w:t>
            </w:r>
          </w:p>
        </w:tc>
      </w:tr>
    </w:tbl>
    <w:p/>
    <w:p>
      <w:r>
        <w:t>Сходство терминов не даёт одинаковой семантики: «волна» может означать разные объекты, «консолидация» — объединение заказа, грузомест или рейсов, «crossdock» — как физическую операцию WMS, так и вариант маршрута TMS.</w:t>
      </w:r>
    </w:p>
    <w:p>
      <w:pPr>
        <w:pStyle w:val="Heading1"/>
      </w:pPr>
      <w:r>
        <w:t>4. GAP текущего решения и минимальное действие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Область / 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Доказанная документацией база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Неподтверждённое для NIKORA / действие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W04/W16–20/W37–39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Есть pick-wave, topology, warehouse tasks/resources и case-pick events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Переиспользовать; проверить политики grocery, конкурентное пополнение и короткий RF на реальной площадке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T05–10/T16–19/T26–27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Диспетчер, карты/VRP, Гант, биллинг TMS-2, исторические gates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 переписывать базу; проверить сегментную ёмкость, многоплечевой freeze/plan-fact и новый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W41–43/T30–33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HTTP/API audit и отдельные adapters/outbox-подходы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API log не заменяет inbox. Нужны durable dedup/version/hash, бизнес-ACK и атомарный outbox, 4 milestone и сверка 4 типов движений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W27–31/T34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Legacy pallet/SSCC и отдельные regulatory aggregates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Общий HU/content/lineage, legacy namespace, seam split и repack; не переиспользовать CRPT-логику без анализа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W22–25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UI ТЗ двух проходов/веса и предложение Quality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Показать хранение независимых фактов и versioned release, не checkbox «контроль пройден»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W13/W26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Требование catch weight/перефасовки из обследования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Сквозная двойная мера/потери/ERP-сверка ещё требуют отдельной доказательной приёмки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T03/T07–15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Архитектурный план FulfillmentPart/OutboundWave/CargoAssignment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Реализовывать только недостающие семантические объекты; SHIPMENT_PART для capacity split не заменяет stable part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W28/W32/T12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Есть топология/задания и crossdock-plan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Реальный target WMS adapter + подтверждение физической приёмки/ёмкости, а не только UI-статус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W34–35/T21–23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Требования возвратов, тары и store receipt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Постоянный assetId и DeliveryReceipt с частичностью/автором; GPS не POD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W45–48/T35–40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Локальные auth/audit/test/slow-SQL runbooks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Договорные SLO/DR/ночная поддержка, локализация KA, аппаратные тесты и эксплуатационная команда</w:t>
            </w:r>
          </w:p>
        </w:tc>
      </w:tr>
    </w:tbl>
    <w:p/>
    <w:p>
      <w:r>
        <w:t>Это gap доказательств/архитектуры по доступной документации; «неподтверждено» не означает, что кода нигде нет. Перед программированием провести scoped code/schema inspection по конкретному W/T ID. Нельзя оценивать весь текущий продукт нулём или сравнивать его с рекламным «всё есть».</w:t>
      </w:r>
    </w:p>
    <w:p>
      <w:pPr>
        <w:pStyle w:val="Heading1"/>
      </w:pPr>
      <w:r>
        <w:t>5. Предлагаемое развитие документации</w:t>
      </w:r>
    </w:p>
    <w:p>
      <w:r>
        <w:t>Для каждого W/T ID вести: applicability (площадка/поток), owner, source/version, M/S, gate, интерфейс, модуль/таблица, configuration/custom, sprint/CD, D-test, evidence/date/baseline, итог/открытый дефект. Один requirement может иметь несколько sprint tickets, но закрывается по end-to-end outcome.</w:t>
      </w:r>
    </w:p>
    <w:p>
      <w:r>
        <w:t>Новые таблицы создавать только если существующий объект не сохраняет обязательный факт/историю/инвариант. Архитектурный инкремент принимается отдельным контрактным тестом; функциональный — пользовательским сквозным сценарием. Это соответствует ранее принятому разделению архитектуры и функциональности, не запускает очередную миграцию автоматически.</w:t>
      </w:r>
    </w:p>
    <w:p>
      <w:r>
        <w:t>Предлагаемые следующие действия: утвердить требования/границы и профиль нагрузки; выслать одинаковые опросники; провести D01–D12 с shortlist; параллельно сопоставить актуальный код с теми же ID. Решение «развивать своё / внедрять вендора / гибрид» принимать по одинаковым критериям, поддержке и стоимости полного процесса.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Текущий проект: организация требований и GAP к retail-стандарту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