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WMS и TMS и бизнес процессов розничной сети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Решение для абстрактной сети магазинов у дома.</w:t>
      </w:r>
    </w:p>
    <w:p>
      <w:pPr>
        <w:pStyle w:val="Heading1"/>
      </w:pPr>
      <w:r>
        <w:t>Основное решение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Разделить складское исполнение, транспорт и коммерческий заказ по владельцам данных. Использовать единый каталог идентификаторов и согласованные события, но не требовать одну общую базу всех систем. В текущем проекте сохранить Oracle как источник складских фактов, FastAPI как границу новых операций и существующие задачи, ресурсы и волны. Новые микросервисы, брокер или другая СУБД не являются необходимым условием retail функциональности.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Стандарт объединяет полезные практики разных продуктов по ожидаемому результату, а не требует сумму всех их модулей. Модульный монолит с надёжной транзакцией может соответствовать стандарту не хуже микросервисов. Архитектура поставщика принимается после проверки изоляции, масштабирования, восстановления и цены расширений.</w:t>
      </w:r>
    </w:p>
    <w:p>
      <w:pPr>
        <w:pStyle w:val="Heading1"/>
      </w:pPr>
      <w:r>
        <w:t>Границы ответственности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Объект или решение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Источник истины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Кто использует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Ассортимент, SKU, упаковки, контрагенты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MDM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 TMS через версии справочников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Потребность магазина и допустимая замена товара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OMS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исполняет; TMS перевозит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Прогноз спроса и автоматический заказ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Система планирования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 обязательное ядро WMS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Остаток, партия, физическое грузоместо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площадки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получает фактический состав и готовность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Программа отбора и работа персонала РЦ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сообщает транспортные дедлайны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Рейс, остановки, автомобиль, перевозчик, ETA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 магазин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Календарь ворот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Один выбранный WMS или YMS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запрашивает и подтверждает бронь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Температурные измерения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Датчик и сервис телеметрии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или служба качества решает судьбу товара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Подтверждение приёмки магазином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Получатель через магазинный контур или POD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хранит доказательство, ERP учитывает результат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Платёж, юридический документ, бухгалтерская оценка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 TMS предоставляют основания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Безопасное управление конвейером или роботом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WCS или PLC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выдаёт бизнес задание, не управляет защитами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Идентичность магазина не определяется адресной строкой. Используется StoreId и ShipToId, при наличии — GLN. SKU, GTIN, партия, серийный номер, SSCC грузоместа и AssetId возвратного ролла — разные типы ключей. Стандартный SSCC и внутренний идентификатор паллеты допускаются одновременно с типом и namespace. Принципы идентификации сверяются с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GS1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, обмен событий может использовать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EPCIS</w:t>
        </w:r>
      </w:hyperlink>
      <w:r>
        <w:rPr>
          <w:rFonts w:ascii="Arial" w:hAnsi="Arial" w:cs="Arial" w:eastAsia="Arial"/>
          <w:b w:val="0"/>
          <w:sz w:val="22"/>
          <w:cs w:val="0"/>
        </w:rPr>
        <w:t>, но эти стандарты не требуют единой базы или отдельного брокера.</w:t>
      </w:r>
    </w:p>
    <w:p>
      <w:pPr>
        <w:pStyle w:val="Heading1"/>
      </w:pPr>
      <w:r>
        <w:t>Уровни бизнес процессов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Уровень L0 — снабжение полки магазина с нужной свежестью и сервисом. L1 — поступление, хранение, исполнение заказов, перевозка и обратный поток. L2 — принимаемые сквозные процессы ниже. L3 — инструкции роли и машины состояний. Каждый L3 шаг содержит владельца, разрешённый вход, команду, сохранённый факт, отказ и компенсацию.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2523"/>
        <w:gridCol w:w="2826"/>
        <w:gridCol w:w="2826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Процесс</w:t>
            </w:r>
          </w:p>
        </w:tc>
        <w:tc>
          <w:tcPr>
            <w:tcW w:type="dxa" w:w="2523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Начало и владелец</w:t>
            </w:r>
          </w:p>
        </w:tc>
        <w:tc>
          <w:tcPr>
            <w:tcW w:type="dxa" w:w="2826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Законченный результат</w:t>
            </w:r>
          </w:p>
        </w:tc>
        <w:tc>
          <w:tcPr>
            <w:tcW w:type="dxa" w:w="2826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Основные исключения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BP01 Подготовка данных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MDM публикует справочник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и TMS приняли версию и сопоставили ключи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Неизвестная единица, дубль магазина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BP02 Приёмка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ASN и фактическое прибытие; WMS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Принятое количество размещено или в карантине; ERP получил факт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Недостача, излишек, повреждение, температура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BP03 Хранение и пересчёт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обнаружила потребность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Корректный остаток и согласованная корректировка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Движение во время счёта, двойной резерв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BP04 Сборка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передала заказ; WMS выпустила работу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Фактические грузоместа готовы по политике качества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Вычерк, отмена, изменение срока доставки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BP05 Транзит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Входящий поток назначен исходящему; WMS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Принято, распределено и передано в нужную отгрузку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Неполная поставка, занятый буфер, разрыв связи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BP06 Планирование доставки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получила потребность и готовность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Согласованный допустимый план с машиной и слотами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Невозможный маршрут, недостаточная мощность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BP07 Погрузка и выезд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получила рейс и последовательность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Фактический груз передан перевозчику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Чужой груз, частичная погрузка, карантин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BP08 Приёмка магазина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Водитель прибыл; получатель проверил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Построчный POD, принятая часть и расхождения переданы ERP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Отказ, закрытый магазин, отсутствие связи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BP09 Возврат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Магазин или качество создали возврат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Товар и тара приняты, проверены, учтены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Потеря холодовой цепи, несверенная тара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BP10 Отзыв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Уполномоченный сотрудник создал кампанию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Все затронутые остатки и отправки обработаны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Уже в пути, смешанные партии, недоступный магазин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BP11 Расчёты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получила факты услуг и счёт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Проверенный счёт и распределение расходов ушли ERP</w:t>
            </w:r>
          </w:p>
        </w:tc>
        <w:tc>
          <w:tcPr>
            <w:tcW w:type="dxa" w:w="28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Дубль, спорная доплата, несогласованный тариф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BP12 Восстановление</w:t>
            </w:r>
          </w:p>
        </w:tc>
        <w:tc>
          <w:tcPr>
            <w:tcW w:type="dxa" w:w="2523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ИТ объявила инцидент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Восстановлена работа и сверены накопленные факты</w:t>
            </w:r>
          </w:p>
        </w:tc>
        <w:tc>
          <w:tcPr>
            <w:tcW w:type="dxa" w:w="28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Потерянный ACK, повторная операция, несовпавший остаток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Запуск новой площадки состоит из утверждения профиля, очистки справочников, настройки процессов, испытаний, пробного cutover и контролируемого пилота. Число экранов или закрытых задач разработки не заменяет приёмку BP процесса.</w:t>
      </w:r>
    </w:p>
    <w:p>
      <w:pPr>
        <w:pStyle w:val="Heading1"/>
      </w:pPr>
      <w:r>
        <w:t>Машины состояний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Состояние заказа ERP, складской работы, грузоместа, рейса и качества хранится раздельно. Поле «заказ выполнен» не может означать все эти факты сразу.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Объект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Нормальная последовательность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Существенное правило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Поступление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ожидается → прибыло → принято частично или полностью → размещено → закрыто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Документальный приход не равен доступному запасу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Складская работа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запланирована → зарезервирована → назначена → начата → завершена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Завершение требует факта; после старта допустим остаток, а не удаление истории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Грузоместо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формируется → закрыто → проверяется → допущено → погружено → передано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Изменение состава повышает версию и отменяет старый выпуск качества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Качество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ожидается → проверено → допущено или удержано → решение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Автор выпуска и исполнитель разделены по политике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Рейс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черновик → согласован → назначен → погрузка → в пути → завершён операционно → закрыт финансово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Финансовое закрытие не доказывает приёмку всех строк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Доставка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ожидается → прибытие → принято полностью или частично либо отказ → сверено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GPS не заменяет подпись или иной утверждённый POD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Точки невозврата: фактическое перемещение, передача перевозчику, приёмка магазином и финансовое проведение. После них изменение выполняется компенсирующим документом, а не редактированием прошлого. Повтор команды возвращает прежний результат. Конфликт версий возвращается вызывающему явно.</w:t>
      </w:r>
    </w:p>
    <w:p>
      <w:pPr>
        <w:pStyle w:val="Heading1"/>
      </w:pPr>
      <w:r>
        <w:t>Архитектура WMS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Выделить логические модули: справочники и топология; поступления; остаток и резерв; задачи и ресурсы; отбор; грузоместа и упаковка; качество; отгрузка; возврат и отзыв; интеграции; аудит и показатели. Это границы ответственности кода, а не обязательные отдельные серверы.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Новый клиент работает через прикладной API. Доменная операция и её outbox событие фиксируются одной транзакцией. Доступный остаток вычисляется из физического остатка, блокировок и активных резервов, а не хранится несогласованной копией в каждом сервисе. Запросы отчётности имеют лимиты, окна и отдельные read модели при доказанной необходимости.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существующей системе RRL_REMAINS остаётся источником физического запаса. RRL_PICK_WAVE подходит для выпуска и координации отбора; RRL_WAREHOUSE_TASK и resource session — для физического исполнения. Однако приёмку, инвентаризацию и кампанию отзыва нельзя принудительно превращать в волну комплектации. Требуется отдельное ADR об области применимости wave модели, а не немедленная замена её кода.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Размещение, отбор и пополнение используют единую семантику изменения остатка и идемпотентного факта. Терминал может сохранять намерение локально, но не объявляет его серверным подтверждением. Для опасных конкурентных операций offline запрещается либо выдаётся ограниченное право на конкретный ресурс и количество.</w:t>
      </w:r>
    </w:p>
    <w:p>
      <w:pPr>
        <w:pStyle w:val="Heading1"/>
      </w:pPr>
      <w:r>
        <w:t>Архитектура TMS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Логические модули: транспортная потребность, параметры сети, ресурсы, планирование, версия рейса, исполнение, POD, тарифы, расчёты и интеграции. Оптимизатор получает неизменяемый снимок входа и выдаёт предложение; прикладной сервис повторно проверяет ограничения перед сохранением.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Расчёт маршрута — асинхронное ограниченное по времени задание с ID, состоянием, версией входных данных и диагностикой. Отказ карт, геокодирования или solver не должен блокировать чтение текущего рейса. Ручной план проверяется тем же валидатором, что автоматический.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Плановое время готовности и фактическое завершение сборки не подменяют друг друга. ETA, расписание, реальное прибытие и POD также различаются. Ёмкость вычисляется по каждому участку и отсеку с учётом обратных заборов. Для уже исполненной части маршрута запрещён бесшумный пересчёт.</w:t>
      </w:r>
    </w:p>
    <w:p>
      <w:pPr>
        <w:pStyle w:val="Heading1"/>
      </w:pPr>
      <w:r>
        <w:t>Интеграция внешней базы и систем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Внешняя база данных подключается через сервис владельца или отдельный контролируемый адаптер. XML API — один из поддерживаемых транспортов, а не прямой доступ к таблицам. Участник не получает права выполнять произвольный SQL в чужом контуре. Для старой ERP допустим документированный staging адаптер, но только с журналом, контролем версий и ответственным владельцем.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Семейство сообщения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Откуда и куда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Содержание и результат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ProductMaster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→ WMS и TMS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SKU, упаковки, единицы, вес, габариты, температурная категория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LocationMaster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MDM → WMS и TMS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StoreId, ShipToId, адрес, координаты, календари и требования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PartnerMaster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→ WMS и TMS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Поставщик, владелец, перевозчик, действующие идентификаторы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PurchaseOrder и ASN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поставщик → WMS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Ожидаемые строки, партии, грузоместа и версия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StoreOrder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ERP или OMS → WMS и TMS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Строки спроса, окно доставки, приоритет, допустимые изменения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OrderChange и Cancel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Владелец заказа → WMS и TMS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Версия, изменённые строки, причина, решение по уже исполненному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ReceiptConfirmed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ERP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Фактически принято, удержано и расхождения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InventoryAdjusted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ERP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Основание, количество до и после, автор согласования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AssemblyPlanned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TMS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Ожидаемые масса, объём и время готовности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OrderPicked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ERP и TMS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Собранные строки, партии, фактические грузоместа и состав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QualityReleased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TMS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Версия состава и область действующего допуска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TransferDefined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→ ERP и WMS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Межскладское перемещение, плечи, задания и плановые окна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RoutePlan и DockRequest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→ WMS или YMS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Версия рейса, остановки, порядок и запрос ворот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DockConfirmed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Владелец календаря → TMS и WMS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Одобренный слот, срок брони, ворота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CargoHandedOver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TMS и ERP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Погруженные и фактически переданные строки, машина и время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TransportDeparted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→ ERP и WMS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Выезд и статус в пути; не подтверждение приёмки магазина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DeliveryAccepted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Магазин или POD → TMS → ERP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Принято, отказано, недостача, получатель и доказательства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ReturnExpected и ReturnReceived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Магазин или TMS → WMS → ERP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Ожидание обратного потока и отдельный факт его приёмки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RecallRequested и RecallOutcome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Качество ↔ WMS TMS ERP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Область блокировки и результаты по каждому назначению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FreightSettlement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→ ERP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Одобренные услуги, расчёт и распределение расходов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Обязательный конверт: messageId, producer, schemaVersion, businessType, aggregateId, aggregateVersion, eventTime с часовым поясом, correlationId, causationId и hash нормализованного тела. Строки имеют устойчивые lineId. Количество передаётся вместе с единицей и точностью; масса с признаком net или gross и тарой. Неизвестный SSCC не должен лишать внутреннюю паллету идентичности.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Технический ACK подтверждает получение, бизнес ACK — принятие или мотивированный отказ. Повтор с тем же ID и тем же hash возвращает сохранённый результат; с другим hash — конфликт. Поздняя версия не перезаписывает новую. Отсутствующий справочник задерживает сообщение в контролируемой очереди, а не вызывает молчаливую потерю заказа. XML валидируется по XSD с запретом DTD и внешних сущностей, ограничением размера и числа строк. Версии контрактов сосуществуют в согласованный переходный период.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Оператор интеграции видит сообщение, бизнес ключ, версии, обе квитанции, количество попыток и связанную сверку. Replay разрешён отдельным правом и не обходит идемпотентность. API журнал полезен для диагностики, но не заменяет inbox и outbox.</w:t>
      </w:r>
    </w:p>
    <w:p>
      <w:pPr>
        <w:pStyle w:val="Heading1"/>
      </w:pPr>
      <w:r>
        <w:t>Минимальные изменения текущей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Обязательный факт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Что переиспользовать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Когда нужен новый объект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Входящее сообщение и бизнес результат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Существующие audit и outbox как смежная база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Inbox необходим, если нет долговечного ключа, hash и версии в одной транзакционной модели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Количество и масса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SKU, упаковка, остаток и строки документов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Дополнительные фактические меры нужны, если текущие поля хранят только нормативный вес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Проверка и выпуск качества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Существующее событие задачи и права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Inspection и Release версии состава, если независимые проверки и аннулирование сейчас не сохраняются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Вложенность и перепаковка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Pallet и trace edge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HU content и versioned containment, если невозможно проверить состав, единственного родителя и баланс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магазином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Операции рейса и shipment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DeliveryReceipt с построчным количеством и доказательствами, если есть только время done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Отзыв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Trace event и edge, запас, заказы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RecallCampaign и задания результатов, если нет жизненного цикла изъятия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Оборотный актив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Справочник тары и ресурсов после проверки смысла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Asset и custody event, если идентичность исчезает после смены грузового кода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Слепой пересчёт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Унаследованные inventory документы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Расширение сессии и фактов счёта только после проверки существующих процедур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Это логические потребности, не готовая команда создать восемь таблиц. Перед миграцией доказать, что существующий объект не сохраняет нужный факт или инвариант. Каждое изменение сопровождается ADR, схемой, миграцией, совместимостью legacy и проверкой восстановления. Для Oracle действует принятый в проекте протокол зеркалирования wiki/database и проверки live после применения.</w:t>
      </w:r>
    </w:p>
    <w:p>
      <w:pPr>
        <w:pStyle w:val="Heading1"/>
      </w:pPr>
      <w:r>
        <w:t>Рабочие места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Начальник РЦ управляет готовностью заказов и мощностью зон. Приёмщик принимает и фиксирует расхождения. Сборщик видит следующую операцию и сканирование; контроллер — независимую проверку без подсказанного «правильного» ответа. Водитель ричтрака получает откуда что куда; диспетчер техники видит очередь и блокирующие зависимости.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Дополнительно необходимы оператор размещения, инвентаризатор, специалист качества и отзыва, оператор возвратов и тары, погрузчик с проверкой рейса, координатор ворот, администратор справочников, оператор интеграций и финансовый контролёр транспорта. Логист маршрута работает с картой и ограничениями; координатор транзита — с входящими и исходящими потоками и буфером; водитель — с текущей остановкой; магазин — с ожидаемой и фактически принятой поставкой.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 ТСД штатный шаг укладывается в один рабочий экран; подтверждение не прячется в нескольких меню. Исключения доступны отдельно, ошибки сопровождаются текстом и сигналом. Количество сканов и допустимые ручные подтверждения определяются риском. Два контрольных прохода не вводятся для всего ассортимента автоматически.</w:t>
      </w:r>
    </w:p>
    <w:p>
      <w:pPr>
        <w:pStyle w:val="Heading1"/>
      </w:pPr>
      <w:r>
        <w:t>Нефункциональные требования и управление изменениями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Разделить эксплуатационные контуры разработки, испытаний и production. Использовать миграции, контроль совместимости, лимиты запросов, секреты вне исходников, резервное копирование и проверку восстановления. Устанавливать сроки хранения данных и права по стране и договору, а не считать любое законодательство универсальным.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нагрузки и целевые SLO приведены в методике. Каждая версия требует контрактной и сквозной регрессии, испытания отказа и анализа медленных SQL. Оперативный отчёт не должен неограниченно сканировать всю историю склада.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Каталог требования связывается цепочкой ID → бизнес процесс → владелец → контракт → модуль и миграция → тест → evidence с датой и baseline → акт. В текущей wiki множество ТЗ и исторических результатов; нужен единый реестр этой цепочки, а не ещё один несвязанный список спринтов.</w:t>
      </w:r>
    </w:p>
    <w:p>
      <w:pPr>
        <w:pStyle w:val="Heading1"/>
      </w:pPr>
      <w:r>
        <w:t>Сравнение способов организации требований</w:t>
      </w:r>
    </w:p>
    <w:p>
      <w:pPr/>
      <w:hyperlink r:id="rId12">
        <w:r>
          <w:rPr>
            <w:rFonts w:ascii="Arial" w:hAnsi="Arial" w:cs="Arial" w:eastAsia="Arial"/>
            <w:color w:val="215E86"/>
            <w:u w:val="single"/>
          </w:rPr>
          <w:t>SAP EWM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организует каталог вокруг этапов потока и базового или расширенного scope.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Infor WMS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выделяет функциональные блоки запаса, приёмки, волн, отбора, VAS и труда.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Manhattan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подчёркивает объединённое исполнение и редакции платформы.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AXELOT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подробно описывает процессы и стратегии.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собственного проекта заимствуется процессная структура, стабильные ID и проверяемые исходы, а не названия объектов любого одного вендора. Коммерческий модуль вендора и доменная сущность собственного кода — разные уровни. Архитектурная замена оправдана измеренным ограничением или невозможностью соблюсти инвариант, а не современностью названия платформы.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s1.org/standards/id-keys" TargetMode="External"/><Relationship Id="rId11" Type="http://schemas.openxmlformats.org/officeDocument/2006/relationships/hyperlink" Target="https://ref.gs1.org/standards/epcis/" TargetMode="External"/><Relationship Id="rId12" Type="http://schemas.openxmlformats.org/officeDocument/2006/relationships/hyperlink" Target="https://www.sap.com/products/scm/extended-warehouse-management/features.html" TargetMode="External"/><Relationship Id="rId13" Type="http://schemas.openxmlformats.org/officeDocument/2006/relationships/hyperlink" Target="https://www.infor.com/en-gb/solutions/scm/warehouse-management-system" TargetMode="External"/><Relationship Id="rId14" Type="http://schemas.openxmlformats.org/officeDocument/2006/relationships/hyperlink" Target="https://www.manh.com/solutions/supply-chain-management-software/warehouse-management" TargetMode="External"/><Relationship Id="rId15" Type="http://schemas.openxmlformats.org/officeDocument/2006/relationships/hyperlink" Target="https://www.axelot.ru/product/axelot-wms-x5/functiona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WMS и TMS и бизнес процессов розничной сети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