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Предварительное сравнение WMS для сети магазинов у дома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Версия 1.0 · исследование официальных открытых источников на 17 сентября 2026 года.</w:t>
      </w:r>
    </w:p>
    <w:p>
      <w:pPr>
        <w:pStyle w:val="Heading1"/>
      </w:pPr>
      <w:r>
        <w:t>Как читать заполнение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Это предварительное заполнение аналитиком каждого вопроса, а не официальный ответ вендора. Д — соответствующее семейство функции прямо описано в указанном источнике; Ч — описан только смежный механизм, платформа или портфель; НД — достаточных публичных данных в проверенных материалах нет. Ни Д, ни Ч не означают прохождение полного критерия приёмки, наличие в минимальной лицензии или доступность в выбранной стране. НД не означает отсутствие функции. Ч означает необходимость уточнить покрытие, а не утверждение о частично работающей реализации.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 клетке указан источник; его полная ссылка дана в карточке вендора. Для окончательного ответа вендор возвращает СТ, НС, ДР, ПР, ПЛ, НЕТ либо согласованное НП и протокол теста. Числовой рейтинг готовности без демонстраций не назначен. Все вопросы, включая НД, включены в матрицу; неразрешённый стоп критерий блокирует выбор.</w:t>
      </w:r>
    </w:p>
    <w:p>
      <w:pPr>
        <w:pStyle w:val="Heading1"/>
      </w:pPr>
      <w:r>
        <w:t>SAP EWM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Обозначение в матрице SAP. Источник </w:t>
      </w:r>
      <w:hyperlink r:id="rId10">
        <w:r>
          <w:rPr>
            <w:rFonts w:ascii="Arial" w:hAnsi="Arial" w:cs="Arial" w:eastAsia="Arial"/>
            <w:color w:val="215E86"/>
            <w:u w:val="single"/>
          </w:rPr>
          <w:t>S01 SAP EWM функции</w:t>
        </w:r>
      </w:hyperlink>
      <w:r>
        <w:rPr>
          <w:rFonts w:ascii="Arial" w:hAnsi="Arial" w:cs="Arial" w:eastAsia="Arial"/>
          <w:b w:val="0"/>
          <w:sz w:val="22"/>
          <w:cs w:val="0"/>
        </w:rPr>
        <w:t>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Публичная структура: входящие, внутренние, исходящие и сквозные процессы; basic и advanced. В запросе зафиксировать вариант embedded или standalone и нужные лицензии. Проверять настройку retail свежести на дату доставки, глубину HU истории и изменения после начала исполнения.</w:t>
      </w:r>
    </w:p>
    <w:p>
      <w:pPr>
        <w:pStyle w:val="Heading1"/>
      </w:pPr>
      <w:r>
        <w:t>Infor WMS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Обозначение в матрице Infor. Источник </w:t>
      </w:r>
      <w:hyperlink r:id="rId11">
        <w:r>
          <w:rPr>
            <w:rFonts w:ascii="Arial" w:hAnsi="Arial" w:cs="Arial" w:eastAsia="Arial"/>
            <w:color w:val="215E86"/>
            <w:u w:val="single"/>
          </w:rPr>
          <w:t>S02 Infor WMS функции</w:t>
        </w:r>
      </w:hyperlink>
      <w:r>
        <w:rPr>
          <w:rFonts w:ascii="Arial" w:hAnsi="Arial" w:cs="Arial" w:eastAsia="Arial"/>
          <w:b w:val="0"/>
          <w:sz w:val="22"/>
          <w:cs w:val="0"/>
        </w:rPr>
        <w:t>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Каталог объединяет inventory, receiving, waves, picking, VAS и labor. YMS и Nexus — соседние решения, не доказательство функций внутри WMS. Уточнить редакцию, регион облака, двойную меру и изоляцию контроля.</w:t>
      </w:r>
    </w:p>
    <w:p>
      <w:pPr>
        <w:pStyle w:val="Heading1"/>
      </w:pPr>
      <w:r>
        <w:t>Manhattan ActiveWarehouse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Обозначение в матрице Manh. Источник </w:t>
      </w:r>
      <w:hyperlink r:id="rId12">
        <w:r>
          <w:rPr>
            <w:rFonts w:ascii="Arial" w:hAnsi="Arial" w:cs="Arial" w:eastAsia="Arial"/>
            <w:color w:val="215E86"/>
            <w:u w:val="single"/>
          </w:rPr>
          <w:t>S03 Manhattan ActiveWarehouse</w:t>
        </w:r>
      </w:hyperlink>
      <w:r>
        <w:rPr>
          <w:rFonts w:ascii="Arial" w:hAnsi="Arial" w:cs="Arial" w:eastAsia="Arial"/>
          <w:b w:val="0"/>
          <w:sz w:val="22"/>
          <w:cs w:val="0"/>
        </w:rPr>
        <w:t>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Публичный акцент на потоковом исполнении, ресурсах и автоматизации. Зафиксировать конкретную редакцию ActiveWarehouse. Обещания versionless и zero downtime проверять договором и регрессией; они не заменяют проверку восстановления.</w:t>
      </w:r>
    </w:p>
    <w:p>
      <w:pPr>
        <w:pStyle w:val="Heading1"/>
      </w:pPr>
      <w:r>
        <w:t>AXELOT WMS X5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Обозначение в матрице AXE. Источник </w:t>
      </w:r>
      <w:hyperlink r:id="rId13">
        <w:r>
          <w:rPr>
            <w:rFonts w:ascii="Arial" w:hAnsi="Arial" w:cs="Arial" w:eastAsia="Arial"/>
            <w:color w:val="215E86"/>
            <w:u w:val="single"/>
          </w:rPr>
          <w:t>S04 AXELOT WMS X5 функции</w:t>
        </w:r>
      </w:hyperlink>
      <w:r>
        <w:rPr>
          <w:rFonts w:ascii="Arial" w:hAnsi="Arial" w:cs="Arial" w:eastAsia="Arial"/>
          <w:b w:val="0"/>
          <w:sz w:val="22"/>
          <w:cs w:val="0"/>
        </w:rPr>
        <w:t>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Процессный каталог подробно описывает приёмку, отбор, инвентаризацию и настройки стратегий. Укладка SCAP и мобильные компоненты требуют отдельного описания поставки. Не считать открытость конфигурации доказательством безопасного обновления расширений.</w:t>
      </w:r>
    </w:p>
    <w:p>
      <w:pPr>
        <w:pStyle w:val="Heading1"/>
      </w:pPr>
      <w:r>
        <w:t>Blue Yonder WMS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Обозначение в матрице BY. Источник </w:t>
      </w:r>
      <w:hyperlink r:id="rId14">
        <w:r>
          <w:rPr>
            <w:rFonts w:ascii="Arial" w:hAnsi="Arial" w:cs="Arial" w:eastAsia="Arial"/>
            <w:color w:val="215E86"/>
            <w:u w:val="single"/>
          </w:rPr>
          <w:t>S05 Blue Yonder Warehouse Management</w:t>
        </w:r>
      </w:hyperlink>
      <w:r>
        <w:rPr>
          <w:rFonts w:ascii="Arial" w:hAnsi="Arial" w:cs="Arial" w:eastAsia="Arial"/>
          <w:b w:val="0"/>
          <w:sz w:val="22"/>
          <w:cs w:val="0"/>
        </w:rPr>
        <w:t>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Официально выделены операции склада, прогноз ресурсов, slotting, labor, load building, yard и returns. Запросить точное сочетание модулей и независимый сценарий отказа автоматизации.</w:t>
      </w:r>
    </w:p>
    <w:p>
      <w:pPr>
        <w:pStyle w:val="Heading1"/>
      </w:pPr>
      <w:r>
        <w:t>Oracle WMS Cloud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Обозначение в матрице Ora. Источник </w:t>
      </w:r>
      <w:hyperlink r:id="rId15">
        <w:r>
          <w:rPr>
            <w:rFonts w:ascii="Arial" w:hAnsi="Arial" w:cs="Arial" w:eastAsia="Arial"/>
            <w:color w:val="215E86"/>
            <w:u w:val="single"/>
          </w:rPr>
          <w:t>S06 Oracle Warehouse Management Cloud</w:t>
        </w:r>
      </w:hyperlink>
      <w:r>
        <w:rPr>
          <w:rFonts w:ascii="Arial" w:hAnsi="Arial" w:cs="Arial" w:eastAsia="Arial"/>
          <w:b w:val="0"/>
          <w:sz w:val="22"/>
          <w:cs w:val="0"/>
        </w:rPr>
        <w:t>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Сильный публичный акцент на retail wave, flow through, VAS и возвратах. Сопоставлять конкретный релиз WMS Cloud с контрактом API, а не с возможностями собственной Oracle базы проекта.</w:t>
      </w:r>
    </w:p>
    <w:p>
      <w:pPr>
        <w:pStyle w:val="Heading1"/>
      </w:pPr>
      <w:r>
        <w:t>Infios WMS портфель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Обозначение в матрице Inf. Источник </w:t>
      </w:r>
      <w:hyperlink r:id="rId16">
        <w:r>
          <w:rPr>
            <w:rFonts w:ascii="Arial" w:hAnsi="Arial" w:cs="Arial" w:eastAsia="Arial"/>
            <w:color w:val="215E86"/>
            <w:u w:val="single"/>
          </w:rPr>
          <w:t>S07 Infios Warehouse Management Systems</w:t>
        </w:r>
      </w:hyperlink>
      <w:r>
        <w:rPr>
          <w:rFonts w:ascii="Arial" w:hAnsi="Arial" w:cs="Arial" w:eastAsia="Arial"/>
          <w:b w:val="0"/>
          <w:sz w:val="22"/>
          <w:cs w:val="0"/>
        </w:rPr>
        <w:t>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Сравнение предварительное на уровне портфеля. Вендор должен назвать один конкретный продукт и версии совместимых модулей. До этого даже описанные возможности отмечаются как смежное покрытие, а не наличие в единой поставке.</w:t>
      </w:r>
    </w:p>
    <w:p>
      <w:pPr>
        <w:pStyle w:val="Heading1"/>
      </w:pPr>
      <w:r>
        <w:t>EPG LFS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Обозначение в матрице EPG. Источник </w:t>
      </w:r>
      <w:hyperlink r:id="rId17">
        <w:r>
          <w:rPr>
            <w:rFonts w:ascii="Arial" w:hAnsi="Arial" w:cs="Arial" w:eastAsia="Arial"/>
            <w:color w:val="215E86"/>
            <w:u w:val="single"/>
          </w:rPr>
          <w:t>S08 EPG LFS модули</w:t>
        </w:r>
      </w:hyperlink>
      <w:r>
        <w:rPr>
          <w:rFonts w:ascii="Arial" w:hAnsi="Arial" w:cs="Arial" w:eastAsia="Arial"/>
          <w:b w:val="0"/>
          <w:sz w:val="22"/>
          <w:cs w:val="0"/>
        </w:rPr>
        <w:t>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Каталог LFS явно разделяет основной и дополнительный функционал, включая контроль, тару и технологии склада. LYDIA — отдельный технологический компонент. Нужны подтверждения версионности правил и сквозных гарантий обмена.</w:t>
      </w:r>
    </w:p>
    <w:p>
      <w:pPr>
        <w:pStyle w:val="Heading1"/>
      </w:pPr>
      <w:r>
        <w:t>Mecalux Easy WMS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Обозначение в матрице Mec. Источник </w:t>
      </w:r>
      <w:hyperlink r:id="rId18">
        <w:r>
          <w:rPr>
            <w:rFonts w:ascii="Arial" w:hAnsi="Arial" w:cs="Arial" w:eastAsia="Arial"/>
            <w:color w:val="215E86"/>
            <w:u w:val="single"/>
          </w:rPr>
          <w:t>S09 Mecalux Easy WMS</w:t>
        </w:r>
      </w:hyperlink>
      <w:r>
        <w:rPr>
          <w:rFonts w:ascii="Arial" w:hAnsi="Arial" w:cs="Arial" w:eastAsia="Arial"/>
          <w:b w:val="0"/>
          <w:sz w:val="22"/>
          <w:cs w:val="0"/>
        </w:rPr>
        <w:t>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Описаны multi owner, multi warehouse, ручные и автоматизированные склады. Уточнить различия cloud и on premise. Store Fulfillment и Labor Management учитывать как отдельные модули, а не универсальное ядро.</w:t>
      </w:r>
    </w:p>
    <w:p>
      <w:pPr>
        <w:pStyle w:val="Heading1"/>
      </w:pPr>
      <w:r>
        <w:t>Полное заполнение по вопросам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Короткие названия ниже служат навигацией; полный смысл и тест каждого ID определены в функциональном стандарте и опроснике.</w:t>
      </w:r>
    </w:p>
    <w:p>
      <w:pPr>
        <w:sectPr>
          <w:footerReference w:type="default" r:id="rId9"/>
          <w:pgSz w:w="11906" w:h="16838"/>
          <w:pgMar w:top="907" w:right="907" w:bottom="964" w:left="907" w:header="397" w:footer="454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794"/>
        <w:gridCol w:w="3458"/>
        <w:gridCol w:w="567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cantSplit/>
          <w:tblHeader/>
        </w:trPr>
        <w:tc>
          <w:tcPr>
            <w:tcW w:type="dxa" w:w="794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9"/>
                <w:cs w:val="0"/>
              </w:rPr>
              <w:t>ID</w:t>
            </w:r>
          </w:p>
        </w:tc>
        <w:tc>
          <w:tcPr>
            <w:tcW w:type="dxa" w:w="3458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19"/>
                <w:cs w:val="0"/>
              </w:rPr>
              <w:t>Критерий</w:t>
            </w:r>
          </w:p>
        </w:tc>
        <w:tc>
          <w:tcPr>
            <w:tcW w:type="dxa" w:w="567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9"/>
                <w:cs w:val="0"/>
              </w:rPr>
              <w:t>Вес</w:t>
            </w:r>
          </w:p>
        </w:tc>
        <w:tc>
          <w:tcPr>
            <w:tcW w:type="dxa" w:w="1134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9"/>
                <w:cs w:val="0"/>
              </w:rPr>
              <w:t>SAP</w:t>
            </w:r>
          </w:p>
        </w:tc>
        <w:tc>
          <w:tcPr>
            <w:tcW w:type="dxa" w:w="1134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9"/>
                <w:cs w:val="0"/>
              </w:rPr>
              <w:t>Infor</w:t>
            </w:r>
          </w:p>
        </w:tc>
        <w:tc>
          <w:tcPr>
            <w:tcW w:type="dxa" w:w="1134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9"/>
                <w:cs w:val="0"/>
              </w:rPr>
              <w:t>Manh</w:t>
            </w:r>
          </w:p>
        </w:tc>
        <w:tc>
          <w:tcPr>
            <w:tcW w:type="dxa" w:w="1134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9"/>
                <w:cs w:val="0"/>
              </w:rPr>
              <w:t>AXE</w:t>
            </w:r>
          </w:p>
        </w:tc>
        <w:tc>
          <w:tcPr>
            <w:tcW w:type="dxa" w:w="1134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9"/>
                <w:cs w:val="0"/>
              </w:rPr>
              <w:t>BY</w:t>
            </w:r>
          </w:p>
        </w:tc>
        <w:tc>
          <w:tcPr>
            <w:tcW w:type="dxa" w:w="1134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9"/>
                <w:cs w:val="0"/>
              </w:rPr>
              <w:t>Ora</w:t>
            </w:r>
          </w:p>
        </w:tc>
        <w:tc>
          <w:tcPr>
            <w:tcW w:type="dxa" w:w="1134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9"/>
                <w:cs w:val="0"/>
              </w:rPr>
              <w:t>Inf</w:t>
            </w:r>
          </w:p>
        </w:tc>
        <w:tc>
          <w:tcPr>
            <w:tcW w:type="dxa" w:w="1134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9"/>
                <w:cs w:val="0"/>
              </w:rPr>
              <w:t>EPG</w:t>
            </w:r>
          </w:p>
        </w:tc>
        <w:tc>
          <w:tcPr>
            <w:tcW w:type="dxa" w:w="1134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9"/>
                <w:cs w:val="0"/>
              </w:rPr>
              <w:t>Mec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RW01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Артикул и единицы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RW02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Логистические характеристики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RW03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Магазины и места доставки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RW04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Несколько складов и владельцев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RW05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Топология и вместимость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RW06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Ожидаемое поступление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RW07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Ворота и прибытие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RW08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Фактическая приёмка и расхождения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RW09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Качество и карантин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RW10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Адресное размещение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S08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RW11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Партии и прослеживаемость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RW12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FEFO на момент доставки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RW13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Переменный вес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RW14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Складской остаток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S08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RW15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Резервирование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RW16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Инвентаризация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S08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RW17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Перемещения и дробление остатка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RW18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Пополнение отбора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RW19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Слоттинг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RW20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Сочетание задач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RW21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Жизненный цикл заказа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RW22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Волны и непрерывный выпуск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RW23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Распределение дефицита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RW24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Штучный коробочный и паллетный отбор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S08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RW25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Зональный и групповой отбор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RW26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Упаковка для магазина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RW27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Недостачи и повреждения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RW28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Прямой кроссдокинг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S08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RW29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Распределение потока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RW30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Грузоместа и их история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S08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RW31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Этикетки и печать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RW32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Дополнительные операции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RW33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Политика проверки и выпуск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RW34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Весовой контроль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S08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RW35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Погрузка и передача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RW36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Факт отгрузки в ERP и TMS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RW37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Возврат товара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RW38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Отзыв партии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RW39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Оборотная тара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RW40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Потери и отходы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RW41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Ресурс и смена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RW42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Задание ричтраку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S08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RW43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Начальник смены и диспетчер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RW44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ТСД и эргономика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RW45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Работа при потере связи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RW46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Голос и альтернативные устройства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S08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RW47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Автоматизация и WCS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RW48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Мастер данные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RW49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Операционные сообщения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RW50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Надёжность обмена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RW51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Права и разделение полномочий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RW52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Аудит и наблюдаемость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RW53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Настройка и расширение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RW54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Развёртывание и масштаб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RW55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Восстановление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RW56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Производительность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RW57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Складские показатели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RW58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Стоимость операций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S02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RW59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Локализация и применимость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RW60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Миграция сопровождение и выход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907" w:right="907" w:bottom="964" w:left="907" w:header="397" w:footer="454" w:gutter="0"/>
          <w:cols w:space="720"/>
          <w:docGrid w:linePitch="360"/>
        </w:sectPr>
      </w:pPr>
    </w:p>
    <w:p>
      <w:pPr>
        <w:pStyle w:val="Heading1"/>
      </w:pPr>
      <w:r>
        <w:t>Отбор на демонстрацию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Сначала проверить доступность продукта, партнёра, лицензии и поддержки для страны внедрения. Затем отсеивать по применимым стоп критериям и прогонять одинаковые сценарии. Нельзя объявить победителя по числу Д: детализация публичной документации разная, а инфографика и портфель могут скрывать дополнительные модули.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Дополнительно к SAP, Infor, Manhattan и AXELOT включены Blue Yonder, Oracle, Infios, EPG и Mecalux. Их присутствие подтверждено публичным </w:t>
      </w:r>
      <w:hyperlink r:id="rId19">
        <w:r>
          <w:rPr>
            <w:rFonts w:ascii="Arial" w:hAnsi="Arial" w:cs="Arial" w:eastAsia="Arial"/>
            <w:color w:val="215E86"/>
            <w:u w:val="single"/>
          </w:rPr>
          <w:t>списком Gartner WMS 2026</w:t>
        </w:r>
      </w:hyperlink>
      <w:r>
        <w:rPr>
          <w:rFonts w:ascii="Arial" w:hAnsi="Arial" w:cs="Arial" w:eastAsia="Arial"/>
          <w:b w:val="0"/>
          <w:sz w:val="22"/>
          <w:cs w:val="0"/>
        </w:rPr>
        <w:t>. AXELOT добавлен по запросу заказчика, а не как участник этого списка. Первую демонстрацию разумно проводить по процессам запас и свежесть, приёмка, сборка, инвентаризация, возврат и отзыв. Голос и роботизацию сравнивать только для применимого технологического профиля.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Архитектура микросервисов, название AI и позиция Gartner не получают отдельный функциональный балл. Оценивается бизнес результат, поддерживаемость, стоимость полного состава и проверенные эксплуатационные гарантии.</w:t>
      </w:r>
    </w:p>
    <w:sectPr w:rsidR="00FC693F" w:rsidRPr="0006063C" w:rsidSect="00034616">
      <w:pgSz w:w="11906" w:h="16838"/>
      <w:pgMar w:top="907" w:right="907" w:bottom="964" w:left="90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Retail WMS TMS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 w:cs="Arial" w:eastAsia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9" w:lineRule="auto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59" w:lineRule="auto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259" w:lineRule="auto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 w:before="0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sap.com/products/scm/extended-warehouse-management/features.html" TargetMode="External"/><Relationship Id="rId11" Type="http://schemas.openxmlformats.org/officeDocument/2006/relationships/hyperlink" Target="https://www.infor.com/en-gb/solutions/scm/warehouse-management-system" TargetMode="External"/><Relationship Id="rId12" Type="http://schemas.openxmlformats.org/officeDocument/2006/relationships/hyperlink" Target="https://www.manh.com/solutions/supply-chain-management-software/warehouse-management" TargetMode="External"/><Relationship Id="rId13" Type="http://schemas.openxmlformats.org/officeDocument/2006/relationships/hyperlink" Target="https://www.axelot.ru/product/axelot-wms-x5/functionality/" TargetMode="External"/><Relationship Id="rId14" Type="http://schemas.openxmlformats.org/officeDocument/2006/relationships/hyperlink" Target="https://blueyonder.com/solutions/warehouse-management" TargetMode="External"/><Relationship Id="rId15" Type="http://schemas.openxmlformats.org/officeDocument/2006/relationships/hyperlink" Target="https://www.oracle.com/scm/logistics/warehouse-management/" TargetMode="External"/><Relationship Id="rId16" Type="http://schemas.openxmlformats.org/officeDocument/2006/relationships/hyperlink" Target="https://www.infios.com/en/supply-chain-solutions/warehouse-management-systems" TargetMode="External"/><Relationship Id="rId17" Type="http://schemas.openxmlformats.org/officeDocument/2006/relationships/hyperlink" Target="https://epg.com/gb/logistics-software/warehouse-management-system-lfswms/lfs-modules/" TargetMode="External"/><Relationship Id="rId18" Type="http://schemas.openxmlformats.org/officeDocument/2006/relationships/hyperlink" Target="https://www.mecalux.com/software/warehouse-management-system-wms" TargetMode="External"/><Relationship Id="rId19" Type="http://schemas.openxmlformats.org/officeDocument/2006/relationships/hyperlink" Target="https://www.gartner.com/en/documents/77800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Предварительное сравнение WMS для сети магазинов у дома</dc:title>
  <dc:subject>Общий стандарт для сети магазинов у дома</dc:subject>
  <dc:creator>Исследование требований WMS и TMS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