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Предварительное сравнение TMS для сети магазинов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исследование официальных открытых источников на 17 сентября 2026 года.</w:t>
      </w:r>
    </w:p>
    <w:p>
      <w:pPr>
        <w:pStyle w:val="Heading1"/>
      </w:pPr>
      <w:r>
        <w:t>Как читать заполнение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Это предварительное заполнение аналитиком каждого вопроса, а не официальный ответ вендора. Д — соответствующее семейство функции прямо описано в указанном источнике; Ч — описан только смежный механизм, платформа или портфель; НД — достаточных публичных данных в проверенных материалах нет. Ни Д, ни Ч не означают прохождение полного критерия приёмки, наличие в минимальной лицензии или доступность в выбранной стране. НД не означает отсутствие функции. Ч означает необходимость уточнить покрытие, а не утверждение о частично работающей реализации.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клетке указан источник; его полная ссылка дана в карточке вендора. Для окончательного ответа вендор возвращает СТ, НС, ДР, ПР, ПЛ, НЕТ либо согласованное НП и протокол теста. Числовой рейтинг готовности без демонстраций не назначен. Все вопросы, включая НД, включены в матрицу; неразрешённый стоп критерий блокирует выбор.</w:t>
      </w:r>
    </w:p>
    <w:p>
      <w:pPr>
        <w:pStyle w:val="Heading1"/>
      </w:pPr>
      <w:r>
        <w:t>SAP Transportation Management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SAP. Источник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S10 SAP Transportation Management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Подтверждены семейства управления заказами, планирования, перевозчиков и расчётов. Запросить конкретную редакцию и интеграцию EWM; отдельно доказать городской маршрут, отсеки и POD.</w:t>
      </w:r>
    </w:p>
    <w:p>
      <w:pPr>
        <w:pStyle w:val="Heading1"/>
      </w:pPr>
      <w:r>
        <w:t>Infor Nexus GTM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Infor. Источник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S11 Infor Nexus Global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Продукт ориентирован на сетевое мультимодальное планирование и freight audit. Совместимость с собственным парком, сменами и короткой городской доставкой нельзя вывести из наличия глобальной видимости.</w:t>
      </w:r>
    </w:p>
    <w:p>
      <w:pPr>
        <w:pStyle w:val="Heading1"/>
      </w:pPr>
      <w:r>
        <w:t>Manhattan ActiveTransportation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Manh. Источник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S12 Manhattan ActiveTransportation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Есть публично описанные fleet dispatch, appointments и непрерывная оптимизация. На демо проверить запрет пересчёта выполненных участков, частичную приёмку и телеметрию отсеков.</w:t>
      </w:r>
    </w:p>
    <w:p>
      <w:pPr>
        <w:pStyle w:val="Heading1"/>
      </w:pPr>
      <w:r>
        <w:t>AXELOT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AXE. Источник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S13 AXELOT TMS функции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Заказы, транспортные ресурсы и событийное исполнение описаны прямо. Оптимизатор SCAP, карты MAPS, мониторинг RTVP и MOBILE согласовать отдельными компонентами и ценой.</w:t>
      </w:r>
    </w:p>
    <w:p>
      <w:pPr>
        <w:pStyle w:val="Heading1"/>
      </w:pPr>
      <w:r>
        <w:t>Blue Yonder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BY. Источник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S14 Blue Yonder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Публично заявлены оптимизация, 3D load building, сеть и расчёт выбросов. Наличие этих семейств не доказывает нужные ограничения маленького магазина и договорный SLA.</w:t>
      </w:r>
    </w:p>
    <w:p>
      <w:pPr>
        <w:pStyle w:val="Heading1"/>
      </w:pPr>
      <w:r>
        <w:t>Oracle OTM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Ora. Источник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S15 Oracle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OTM сочетает операционное планирование, Fleet и расчёты. Проверить состав облачных модулей, роли частного и контрактного транспорта и контракт фактического груза с WMS.</w:t>
      </w:r>
    </w:p>
    <w:p>
      <w:pPr>
        <w:pStyle w:val="Heading1"/>
      </w:pPr>
      <w:r>
        <w:t>Infios TM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Inf. Источник </w:t>
      </w:r>
      <w:hyperlink r:id="rId16">
        <w:r>
          <w:rPr>
            <w:rFonts w:ascii="Arial" w:hAnsi="Arial" w:cs="Arial" w:eastAsia="Arial"/>
            <w:color w:val="215E86"/>
            <w:u w:val="single"/>
          </w:rPr>
          <w:t>S16 Infios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Текущее название включает прежний MercuryGate TMS. Routing, DSD, audit и claims могут быть отдельными модулями; нужна демонстрация общей версии и ответственности.</w:t>
      </w:r>
    </w:p>
    <w:p>
      <w:pPr>
        <w:pStyle w:val="Heading1"/>
      </w:pPr>
      <w:r>
        <w:t>e2open Shipper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E2. Источник </w:t>
      </w:r>
      <w:hyperlink r:id="rId17">
        <w:r>
          <w:rPr>
            <w:rFonts w:ascii="Arial" w:hAnsi="Arial" w:cs="Arial" w:eastAsia="Arial"/>
            <w:color w:val="215E86"/>
            <w:u w:val="single"/>
          </w:rPr>
          <w:t>S17 e2open Transportation Management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сравнении TMS для грузовладельца. Широкая глобальная сеть и процессы settlement не подтверждают автоматически локальное исполнение собственного парка и приёмку каждой строки магазином.</w:t>
      </w:r>
    </w:p>
    <w:p>
      <w:pPr>
        <w:pStyle w:val="Heading1"/>
      </w:pPr>
      <w:r>
        <w:t>Alpega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Обозначение в матрице Alp. Источник </w:t>
      </w:r>
      <w:hyperlink r:id="rId18">
        <w:r>
          <w:rPr>
            <w:rFonts w:ascii="Arial" w:hAnsi="Arial" w:cs="Arial" w:eastAsia="Arial"/>
            <w:color w:val="215E86"/>
            <w:u w:val="single"/>
          </w:rPr>
          <w:t>S18 Alpega TMS для грузовладельца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Официально описаны ERP интеграция, оптимизация, видимость до POD и транспортные операции. Offline водитель, построчный POD и собственный холодный парк требуют отдельного доказательства.</w:t>
      </w:r>
    </w:p>
    <w:p>
      <w:pPr>
        <w:pStyle w:val="Heading1"/>
      </w:pPr>
      <w:r>
        <w:t>Полное заполнение по вопросам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Короткие названия ниже служат навигацией; полный смысл и тест каждого ID определены в функциональном стандарте и опроснике.</w:t>
      </w:r>
    </w:p>
    <w:p>
      <w:pPr>
        <w:sectPr>
          <w:footerReference w:type="default" r:id="rId9"/>
          <w:pgSz w:w="11906" w:h="16838"/>
          <w:pgMar w:top="907" w:right="907" w:bottom="964" w:left="907" w:header="397" w:footer="454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794"/>
        <w:gridCol w:w="3458"/>
        <w:gridCol w:w="567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79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ID</w:t>
            </w:r>
          </w:p>
        </w:tc>
        <w:tc>
          <w:tcPr>
            <w:tcW w:type="dxa" w:w="3458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Критерий</w:t>
            </w:r>
          </w:p>
        </w:tc>
        <w:tc>
          <w:tcPr>
            <w:tcW w:type="dxa" w:w="56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Вес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SAP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Infor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Manh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AXE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BY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Ora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Inf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E2</w:t>
            </w:r>
          </w:p>
        </w:tc>
        <w:tc>
          <w:tcPr>
            <w:tcW w:type="dxa" w:w="1134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9"/>
                <w:cs w:val="0"/>
              </w:rPr>
              <w:t>Alp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Магазины и календарь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Заявки на перевозку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Плановый и фактический груз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Автомобиль и отсеки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Перевозчики и договоры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Водители и смены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Дорожный маршрут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Маршрутизация с окнами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RT09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Загрузка по участкам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Температура и совместимость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Целевая функция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Совмещение потоков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Межскладские плечи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Готовность склада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Порядок погрузки и выгрузки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Версии и перепланирование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Диспетчер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Заявка перевозчику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RT19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Слоты и двор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Рабочее место водителя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GPS и ETA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Управление отклонениями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Подтверждение доставки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Расхождения и претензии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Возвраты и тара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Доказательства холодовой цепи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Тарифы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Проверка счетов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RT29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Распределение расходов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Транспортные показатели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Выбросы и ресурсная эффективность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RT32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Операционные контракты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Надёжность и сверка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RT34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Владельцы данных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RT35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Доступ и аудит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RT36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Безопасность и приватность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RT37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Нагрузка и восстановление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RT38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Настройка обновление и выход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НД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RT39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Моделирование сети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RT40</w:t>
            </w:r>
          </w:p>
        </w:tc>
        <w:tc>
          <w:tcPr>
            <w:tcW w:type="dxa" w:w="3458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Международные и сложные перевозки</w:t>
            </w:r>
          </w:p>
        </w:tc>
        <w:tc>
          <w:tcPr>
            <w:tcW w:type="dxa" w:w="56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Ч S10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S11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S12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S13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S14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S15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S16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S17</w:t>
            </w:r>
          </w:p>
        </w:tc>
        <w:tc>
          <w:tcPr>
            <w:tcW w:type="dxa" w:w="1134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  <w:cs w:val="0"/>
              </w:rPr>
              <w:t>Д S18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907" w:right="907" w:bottom="964" w:left="907" w:header="397" w:footer="454" w:gutter="0"/>
          <w:cols w:space="720"/>
          <w:docGrid w:linePitch="360"/>
        </w:sectPr>
      </w:pPr>
    </w:p>
    <w:p>
      <w:pPr>
        <w:pStyle w:val="Heading1"/>
      </w:pPr>
      <w:r>
        <w:t>Отбор на демонстрацию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Сначала проверить доступность продукта, партнёра, лицензии и поддержки для страны внедрения. Затем отсеивать по применимым стоп критериям и прогонять одинаковые сценарии. Нельзя объявить победителя по числу Д: детализация публичной документации разная, а инфографика и портфель могут скрывать дополнительные модули.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Дополнительно включены Blue Yonder, Oracle, Infios, e2open и Alpega из </w:t>
      </w:r>
      <w:hyperlink r:id="rId19">
        <w:r>
          <w:rPr>
            <w:rFonts w:ascii="Arial" w:hAnsi="Arial" w:cs="Arial" w:eastAsia="Arial"/>
            <w:color w:val="215E86"/>
            <w:u w:val="single"/>
          </w:rPr>
          <w:t>публичного списка Gartner TMS 2026</w:t>
        </w:r>
      </w:hyperlink>
      <w:r>
        <w:rPr>
          <w:rFonts w:ascii="Arial" w:hAnsi="Arial" w:cs="Arial" w:eastAsia="Arial"/>
          <w:b w:val="0"/>
          <w:sz w:val="22"/>
          <w:cs w:val="0"/>
        </w:rPr>
        <w:t>. Infor и AXELOT сравниваются по запросу заказчика; их нельзя называть участниками этого списка. Для сети с собственным городским парком сначала доказать ограничения автомобиля и смены, многоточечную доставку, сегментную ёмкость, offline и построчный POD. Глобальная мультимодальность сама по себе не является преимуществом для такого профиля.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Архитектура микросервисов, название AI и позиция Gartner не получают отдельный функциональный балл. Оценивается бизнес результат, поддерживаемость, стоимость полного состава и проверенные эксплуатационные гарантии.</w:t>
      </w:r>
    </w:p>
    <w:sectPr w:rsidR="00FC693F" w:rsidRPr="0006063C" w:rsidSect="00034616"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ap.com/products/scm/transportation-logistics/features.html" TargetMode="External"/><Relationship Id="rId11" Type="http://schemas.openxmlformats.org/officeDocument/2006/relationships/hyperlink" Target="https://www.infor.com/mea/solutions/scm/infor-nexus/transportation-management" TargetMode="External"/><Relationship Id="rId12" Type="http://schemas.openxmlformats.org/officeDocument/2006/relationships/hyperlink" Target="https://www.manh.com/solutions/supply-chain-management-software/transportation-management" TargetMode="External"/><Relationship Id="rId13" Type="http://schemas.openxmlformats.org/officeDocument/2006/relationships/hyperlink" Target="https://www.axelot.ru/product/axelot-tms/functionality/" TargetMode="External"/><Relationship Id="rId14" Type="http://schemas.openxmlformats.org/officeDocument/2006/relationships/hyperlink" Target="https://blueyonder.com/solutions/transportation-management" TargetMode="External"/><Relationship Id="rId15" Type="http://schemas.openxmlformats.org/officeDocument/2006/relationships/hyperlink" Target="https://www.oracle.com/scm/logistics/transportation-management/" TargetMode="External"/><Relationship Id="rId16" Type="http://schemas.openxmlformats.org/officeDocument/2006/relationships/hyperlink" Target="https://www.infios.com/en/supply-chain-solutions/transportation-management" TargetMode="External"/><Relationship Id="rId17" Type="http://schemas.openxmlformats.org/officeDocument/2006/relationships/hyperlink" Target="https://www.e2open.com/logistics/transportation-management" TargetMode="External"/><Relationship Id="rId18" Type="http://schemas.openxmlformats.org/officeDocument/2006/relationships/hyperlink" Target="https://www.alpegagroup.com/en-en/transport-management-system/" TargetMode="External"/><Relationship Id="rId19" Type="http://schemas.openxmlformats.org/officeDocument/2006/relationships/hyperlink" Target="https://www.gartner.com/en/documents/7645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Предварительное сравнение TMS для сети магазинов у дома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