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Методика оценки и приёмки retail WMS и TMS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Версия 1.0 · 17 сентября 2026 года. Назначение — одинаково оценивать собственную разработку и предложения поставщиков.</w:t>
      </w:r>
    </w:p>
    <w:p>
      <w:pPr>
        <w:pStyle w:val="Heading1"/>
      </w:pPr>
      <w:r>
        <w:t>Приоритет результата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Выбирается решение, которое безопасно и воспроизводимо выполняет применимые процессы, а не продукт с максимальным числом рекламных функций. Сначала проверяются обязательные ограничения, затем функциональный балл и доказательства, после этого — стоимость владения, команда и риск внедрения. Нет единственной «лучшей WMS» без профиля сети.</w:t>
      </w:r>
    </w:p>
    <w:p>
      <w:pPr>
        <w:pStyle w:val="Heading1"/>
      </w:pPr>
      <w:r>
        <w:t>Профиль применения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До выдачи опросника утвердить число РЦ и магазинов, SKU, объёмы и пики, глубину истории, одновременно работающие ТСД, температурные категории, весовой ассортимент, собственный парк, наёмный транспорт и технологию склада. Отдельно отметить качество штрихкодов и мастер данных, окна магазинов, размеры входов, роллы, обратные заборы, работающих ночью сотрудников и допустимый простой.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Я — ядро. У — условный модуль: при наличии соответствующего потока становится обязательным. Р — развитие. Например, RW13 и RT10 RT26 обязательны для весового и температурного ассортимента; WCS не нужен ручному складу, а международная мультимодальность не нужна исключительно городской доставке. Модуль нельзя исключить только потому, что выбранный вендор его не умеет. Решение о применимости подписывает заказчик до сравнения.</w:t>
      </w:r>
    </w:p>
    <w:p>
      <w:pPr>
        <w:pStyle w:val="Heading1"/>
      </w:pPr>
      <w:r>
        <w:t>Веса вопросов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WMS имеет 60 вопросов и исходную сумму 100%; TMS — 40 вопросов и сумму 100%. Веса явно указаны у каждого ID в стандарте, опроснике и матрице. WMS: 40 вопросов по 2% и 20 по 1%. TMS: 20 вопросов по 3% и 20 по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Более высокий вес имеют достоверность запаса, свежесть, физическое исполнение и интеграционные гарантии; в TMS — допустимость маршрута и факт доставки. Меньший вес развития не отменяет обязательность стоп критерия. Условный переменный вес остаётся стоп критерием при его применимости.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Для активного набора A нормированный вес вопроса = 100 × исходный вес / сумма исходных весов активных вопросов. Одна и та же применимость используется у всех кандидатов. Групповые веса — сумма входящих вопросов, а не дополнительный слой, который повторно учитывает ту же функцию.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Рекомендуется чувствительность: повторить расчёт при изменении весов ключевых блоков на плюс или минус 20% с перенормировкой. Если победитель меняется, решение зависит от предпочтений заказчика и требует обсуждения, а не объявления технического лидера.</w:t>
      </w:r>
    </w:p>
    <w:p>
      <w:pPr>
        <w:pStyle w:val="Heading1"/>
      </w:pPr>
      <w:r>
        <w:t>Доказательства и баллы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926"/>
        <w:gridCol w:w="7165"/>
      </w:tblGrid>
      <w:tr>
        <w:trPr>
          <w:cantSplit/>
          <w:tblHeader/>
        </w:trPr>
        <w:tc>
          <w:tcPr>
            <w:tcW w:type="dxa" w:w="2926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Балл</w:t>
            </w:r>
          </w:p>
        </w:tc>
        <w:tc>
          <w:tcPr>
            <w:tcW w:type="dxa" w:w="716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Значение после проверки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0</w:t>
            </w:r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Поставщик подтвердил отсутствие применимой функции или сценарий доказанно невыполним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</w:t>
            </w:r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Только ручной обход с существенным операционным риском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</w:t>
            </w:r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Частичный сценарий работает; существенная часть требует разработки или вмешательства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3</w:t>
            </w:r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Весь функциональный сценарий продемонстрирован на контролируемом стенде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4</w:t>
            </w:r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Пройден сквозной сценарий с интеграциями, отрицательными случаями и повтором после сбоя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5</w:t>
            </w:r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Дополнительно пройдены применимый пилот, нагрузка, восстановление и регрессия обновления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НД</w:t>
            </w:r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Доказательств нет; это не балл 0 и не подтверждение отсутствия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>Только документация или roadmap не дают 3–5. Протокол содержит дату, версию продукта, конфигурацию, включённые модули, входные данные, ожидаемый результат, фактический результат и артефакты. Наличие функции в стандартной поставке и её работоспособность — разные оси: доработка может получить функциональный балл после испытания, но её стоимость и поддержка оцениваются отдельно.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Функциональный балл = сумма нормированных весов × проверенный балл / 5. При НД показываются покрытие проверкой и диапазон: нижняя граница учитывает только доказанную часть, верхняя добавляет весь неизвестный вес. Это диапазон неопределённости, а не утверждение, что неизвестные функции отсутствуют или идеальны. Нельзя финализировать выбор при неразрешённом применимом стоп критерии.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WMS и TMS получают отдельные итоги. Для выбора совместной платформы допустимо, например, 60% WMS и 40% TMS, но только после прохождения стоп критериев каждой части. Это предлагаемый коммерческий приоритет, не универсальная пропорция. Нельзя компенсировать слабый склад сильным TMS.</w:t>
      </w:r>
    </w:p>
    <w:p>
      <w:pPr>
        <w:pStyle w:val="Heading1"/>
      </w:pPr>
      <w:r>
        <w:t>Некомпенсируемые условия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Применимые ID со знаком стоп должны достигнуть минимум 4 до допуска соответствующего процесса в production. Решение качества, свежесть, положительный баланс, контроль партии, отсутствие двойного исполнения, корректная погрузка, фактическая приёмка магазина, права и восстановление не компенсируются красивым UI или низкой ценой.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Дополнительно до подписания договора подтвердить доступность лицензирования и поддержки в стране, ответственность интегратора, право экспорта данных и отсутствие критического технологического тупика. Локальное законодательство и обязательные документы проверяются отдельно для выбранной юрисдикции. Этот документ не устанавливает юридические нормы.</w:t>
      </w:r>
    </w:p>
    <w:p>
      <w:pPr>
        <w:pStyle w:val="Heading1"/>
      </w:pPr>
      <w:r>
        <w:t>Сценарии демонстрации и приёмки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Ниже минимальная сквозная программа. Кроме неё каждый применимый RW и RT должен иметь выполненную проверку из стандарта. Одного удачного процесса недостаточно для закрытия каталога.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17"/>
        <w:gridCol w:w="3229"/>
        <w:gridCol w:w="4945"/>
      </w:tblGrid>
      <w:tr>
        <w:trPr>
          <w:cantSplit/>
          <w:tblHeader/>
        </w:trPr>
        <w:tc>
          <w:tcPr>
            <w:tcW w:type="dxa" w:w="1917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ID</w:t>
            </w:r>
          </w:p>
        </w:tc>
        <w:tc>
          <w:tcPr>
            <w:tcW w:type="dxa" w:w="3229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Сценарий и проверяемые требования</w:t>
            </w:r>
          </w:p>
        </w:tc>
        <w:tc>
          <w:tcPr>
            <w:tcW w:type="dxa" w:w="494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Ожидаемое доказательство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D01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Справочник и заказ в неверном порядке; RW01 RW03 RW48–50 RT02 RT32–34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Заказ ждёт SKU, затем принят один раз; неизвестная единица не заменена нулём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D02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Приёмка 100 ожидаемых и 96 фактических, 2 в карантине; RW06–10 RW14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Остаток принят 96, доступно 94; ERP и WMS сходятся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D03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Свежесть сегодня и завтра; RW11–13 RT03 RT14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При переносе доставки неподходящая партия блокируется; решение видно оператору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D04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Весовые короба и частичный возврат; RW01 RW13 RW17 RW37 RT23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Независимо сходятся количество и масса, сохранена тара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D05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Два заказа на последний запас; RW14–15 RW18 RW23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Нет отрицательного остатка и двойного жёсткого резерва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D06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Слепая инвентаризация с текущим движением; RW16 RW51–52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Два независимых факта и согласованный баланс, не ручная подмена суммы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D07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Сборка паллета короб штука для разных магазинов; RW21–27 RW41–45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Правильные адреса, единицы, ресурсы, вычерк и короткий ТСД путь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D08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Закрытие, контроль и изменение состава; RW30–35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Новый состав аннулирует прежний допуск; чужое грузоместо не грузится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D09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Прямой транзит и flow through с недопоставкой; RW28–29 RT13–15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Принятый товар распределён без двойного остатка, дефицит видим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D10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Отделение вложенного короба и перепаковка; RW11 RW30–31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Нет циклов, двойного родителя и потери количества; происхождение сохранено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D11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Отзыв партии после дробления и отправки; RW09 RW11 RW38 RT22–24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Все назначения найдены; остаток блокирован; результаты магазинов закрываются отдельно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D12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Городской маршрут с окнами и обратным забором; RT01 RT04 RT06–12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Все участки допустимы по ёмкости и времени, непомещённая заявка объяснена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D13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Опоздание сборки после freeze; RW12 RW36 RT03 RT14–17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Перепланированы только разрешённые будущие операции, водитель получил версию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D14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Принято 9 коробов из 10 и потеря связи; RT20–25 RW37 RW45 RW49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Построчный POD и возврат; повтор не удваивает приёмку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D15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Отклонение температуры в отсеке; RW09 RW33 RT10 RT26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Правильный груз удержан; отсутствие данных не равно норме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D16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Ролл и счёт перевозчика; RW39 RT25 RT27–29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Постоянный AssetId и ёмкость обратного потока; дубль счёта заблокирован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D17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Разрыв между commit и публикацией, дубли и чужие права; RW49–52 RT32–36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Нет потерянного факта, двойной обработки или обхода доступа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D18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Пиковая смена, отказ и восстановление; RW54–57 RW60 RT37–38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Измеренные задержки, восстановленные данные и список решений по медленным SQL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>Для контроля качества разрешён риск ориентированный профиль; два независимых прохода обязательны только там, где такой профиль согласован. Голос, WCS, омниканальные заказы и международные перевозки получают дополнительные сценарии при активации.</w:t>
      </w:r>
    </w:p>
    <w:p>
      <w:pPr>
        <w:pStyle w:val="Heading1"/>
      </w:pPr>
      <w:r>
        <w:t>Предлагаемые численные условия стенда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Числа ниже — стартовые цели для согласования, не сведения о реальной сети и не обещанная производительность текущего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926"/>
        <w:gridCol w:w="7165"/>
      </w:tblGrid>
      <w:tr>
        <w:trPr>
          <w:cantSplit/>
          <w:tblHeader/>
        </w:trPr>
        <w:tc>
          <w:tcPr>
            <w:tcW w:type="dxa" w:w="2926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Параметр</w:t>
            </w:r>
          </w:p>
        </w:tc>
        <w:tc>
          <w:tcPr>
            <w:tcW w:type="dxa" w:w="716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Предлагаемый профиль среднего испытания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Масштаб данных</w:t>
            </w:r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3 РЦ, 500 магазинов, 15000 активных SKU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Поток</w:t>
            </w:r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80000 строк заказов в сутки суммарно, пик 10000 строк за 15 минут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Конкуренция</w:t>
            </w:r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150 одновременно активных ТСД; распределение по РЦ фиксируется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Операция ТСД</w:t>
            </w:r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p95 до 1 с, p99 до 2,5 с от отправки до подтверждения в оговорённой сети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Оперативный экран</w:t>
            </w:r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p95 до 2 с на согласованном диапазоне; пагинация обязательна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Бизнес ACK обмена</w:t>
            </w:r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p95 до 60 с при доступных системах и валидных данных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Оптимизация</w:t>
            </w:r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До 5 минут для 1500 остановок и 200 доступных машин; фиксированный профиль ограничений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Длительность нагрузки</w:t>
            </w:r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Полная пиковая смена и отдельный аварийный прогон; минимум 20000 измеренных операций сканирования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Восстановление</w:t>
            </w:r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Стартовое предложение RTO 60 минут и RPO 5 минут; возможность потери подтверждённых фактов отдельно согласуется и компенсируется сверкой источников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Сверка</w:t>
            </w:r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Ноль необъяснённых расхождений физического запаса, резервов и отправленных фактов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>Для малого или крупного профиля параметры меняются до испытаний. Исключать из статистики медленные запросы, failed responses или время сети без явного указания нельзя. CPU, память, версия БД, индексы, оборудование, сеть и размер исторических таблиц фиксируются. SLA поставщика сравнивается с одинаковым профилем, а не с рекламным «неограниченно».</w:t>
      </w:r>
    </w:p>
    <w:p>
      <w:pPr>
        <w:pStyle w:val="Heading1"/>
      </w:pPr>
      <w:r>
        <w:t>Набор данных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Стенд включает сухой, охлаждённый, замороженный и весовой ассортимент только согласно активным профилям; минимум три партии с разными сроками, две упаковки одного SKU, внутренние идентификаторы паллет и валидные SSCC, две площадки, частичные поступления и возвраты. Данные должны содержать реальные по структуре ошибки и поздние изменения.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Магазины имеют разные окна, типы входа и ограничения кузова; один магазин закрыт, два находятся по одному адресу, один отказал части товара. Измерения температуры включают пропуски и выход за предел, карты — недопустимый участок, интеграции — повтор, старую версию, конфликт hash и неизвестную ссылку.</w:t>
      </w:r>
    </w:p>
    <w:p>
      <w:pPr>
        <w:pStyle w:val="Heading1"/>
      </w:pPr>
      <w:r>
        <w:t>Экономика и риск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Сравнить лицензии по реальным единицам тарификации, обязательные модули, внедрение, интеграции, оборудование, обучение, поддержку, обновления, резервный контур и выход. Не добавлять произвольные цены вендорам без коммерческого предложения. Собственная разработка оценивается по тем же инвариантам и стоимости сопровождения, а не как бесплатный код.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Отдельные колонки решения: функциональный балл, доказанность, стоп критерии, TCO по одинаковому горизонту, зависимость от интегратора и риск миграции. Согласованные веса этих коммерческих колонок не заменяют веса вопросов.</w:t>
      </w:r>
    </w:p>
    <w:p>
      <w:pPr>
        <w:pStyle w:val="Heading1"/>
      </w:pPr>
      <w:r>
        <w:t>Управление стандартом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Владелец бизнес процесса утверждает применимость и сценарий; архитектор — границы и контракт; независимый тестировщик — результат; эксплуатация — восстановление и поддержку. Обновление стандарта имеет версию и журнал изменений. Старый акт не переносится на новый релиз без оценки влияния.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Итог по кандидату должен звучать как «соответствует этому профилю в указанном составе после этих испытаний», а не как универсальный рейтинг продукта. Предварительные матрицы настоящего исследования — подготовка к этому решению.</w:t>
      </w:r>
    </w:p>
    <w:sectPr w:rsidR="00FC693F" w:rsidRPr="0006063C" w:rsidSect="00034616">
      <w:footerReference w:type="default" r:id="rId9"/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Retail WMS TMS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оценки и приёмки retail WMS и TMS</dc:title>
  <dc:subject>Общий стандарт для сети магазинов у дома</dc:subject>
  <dc:creator>Исследование требований WMS и TMS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