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Источники и практики для общего retail стандарта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Версия 1.0 · 17 сентября 2026 года.</w:t>
      </w:r>
    </w:p>
    <w:p>
      <w:pPr>
        <w:pStyle w:val="Heading1"/>
      </w:pPr>
      <w:r>
        <w:t>Метод исследования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Использованы официальные страницы поставщиков, публичные abstracts Gartner, стандарты GS1, материалы Smart Freight Centre и опубликованные клиентские кейсы. Это не доступ к закрытым RFP сетей и не результаты независимых испытаний коммерческих продуктов. Отраслевые наблюдения преобразованы в предлагаемые требования заказчика; конкретные политики и тесты не приписываются исходному клиенту без подтверждения.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Материалы предыдущего проекта NIKORA использованы только для понимания структуры репозитория и ранее обсуждённых решений. Его число складов, язык персонала, обязательность XML, конкретные сроки, два прохода контроля и способ межскладской консолидации не перенесены как универсальные свойства розницы.</w:t>
      </w:r>
    </w:p>
    <w:p>
      <w:pPr>
        <w:pStyle w:val="Heading1"/>
      </w:pPr>
      <w:r>
        <w:t>Что определяет формат магазина у дома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Малая подсобка ограничивает разовый объём доставки; высокая частота рейсов повышает цену каждой ошибки приёмки. Для коротких сроков годности важна свежесть в момент передачи магазину, а не только при выходе из РЦ. Улицы, входы, отсутствие рампы и короткое окно ограничивают автомобиль и грузоместо. Смешанные короба и роллы требуют удобства разгрузки и выкладки; возврат пустой тары и непринятого товара меняет загрузку по маршруту. Это аналитические следствия операционного профиля, которые необходимо подтвердить обследованием будущего заказчика.</w:t>
      </w:r>
    </w:p>
    <w:p>
      <w:pPr>
        <w:pStyle w:val="Heading1"/>
      </w:pPr>
      <w:r>
        <w:t>Практики других участников рынка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90" w:type="dxa"/>
          <w:right w:w="90" w:type="dxa"/>
        </w:tblCellMar>
      </w:tblPr>
      <w:tblGrid>
        <w:gridCol w:w="1917"/>
        <w:gridCol w:w="2523"/>
        <w:gridCol w:w="2826"/>
        <w:gridCol w:w="2826"/>
      </w:tblGrid>
      <w:tr>
        <w:trPr>
          <w:cantSplit/>
          <w:tblHeader/>
        </w:trPr>
        <w:tc>
          <w:tcPr>
            <w:tcW w:type="dxa" w:w="1917"/>
            <w:vAlign w:val="center"/>
            <w:shd w:fill="24445C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Пример</w:t>
            </w:r>
          </w:p>
        </w:tc>
        <w:tc>
          <w:tcPr>
            <w:tcW w:type="dxa" w:w="2523"/>
            <w:vAlign w:val="center"/>
            <w:shd w:fill="24445C"/>
          </w:tcPr>
          <w:p>
            <w:pPr>
              <w:keepNext/>
              <w:spacing w:after="20" w:before="20" w:line="252" w:lineRule="auto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Что сообщает источник</w:t>
            </w:r>
          </w:p>
        </w:tc>
        <w:tc>
          <w:tcPr>
            <w:tcW w:type="dxa" w:w="2826"/>
            <w:vAlign w:val="center"/>
            <w:shd w:fill="24445C"/>
          </w:tcPr>
          <w:p>
            <w:pPr>
              <w:keepNext/>
              <w:spacing w:after="20" w:before="20" w:line="252" w:lineRule="auto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Требование для нашего стандарта</w:t>
            </w:r>
          </w:p>
        </w:tc>
        <w:tc>
          <w:tcPr>
            <w:tcW w:type="dxa" w:w="2826"/>
            <w:vAlign w:val="center"/>
            <w:shd w:fill="24445C"/>
          </w:tcPr>
          <w:p>
            <w:pPr>
              <w:keepNext/>
              <w:spacing w:after="20" w:before="20" w:line="252" w:lineRule="auto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Ограничение вывода</w:t>
            </w:r>
          </w:p>
        </w:tc>
      </w:tr>
      <w:tr>
        <w:trPr>
          <w:cantSplit/>
        </w:trPr>
        <w:tc>
          <w:tcPr>
            <w:tcW w:type="dxa" w:w="1917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PLUS и Manhattan TMS, S22</w:t>
            </w:r>
          </w:p>
        </w:tc>
        <w:tc>
          <w:tcPr>
            <w:tcW w:type="dxa" w:w="2523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Единое управление входящими и исходящими потоками, моделирование сети</w:t>
            </w:r>
          </w:p>
        </w:tc>
        <w:tc>
          <w:tcPr>
            <w:tcW w:type="dxa" w:w="28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RT12 RT13 RT39; единый транспортный план с разными потоками</w:t>
            </w:r>
          </w:p>
        </w:tc>
        <w:tc>
          <w:tcPr>
            <w:tcW w:type="dxa" w:w="28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Сообщение 2022 года, не аудит текущей версии или всей эффективности</w:t>
            </w:r>
          </w:p>
        </w:tc>
      </w:tr>
      <w:tr>
        <w:trPr>
          <w:cantSplit/>
        </w:trPr>
        <w:tc>
          <w:tcPr>
            <w:tcW w:type="dxa" w:w="1917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Sainsburys и Blue Yonder, S23</w:t>
            </w:r>
          </w:p>
        </w:tc>
        <w:tc>
          <w:tcPr>
            <w:tcW w:type="dxa" w:w="2523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Программа охватывает WMS, labor и yard вместе с планированием</w:t>
            </w:r>
          </w:p>
        </w:tc>
        <w:tc>
          <w:tcPr>
            <w:tcW w:type="dxa" w:w="28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RW41 RW43, RT19 и разделение владельцев данных</w:t>
            </w:r>
          </w:p>
        </w:tc>
        <w:tc>
          <w:tcPr>
            <w:tcW w:type="dxa" w:w="28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Анонс выбора и будущего развития не равен завершённому внедрению</w:t>
            </w:r>
          </w:p>
        </w:tc>
      </w:tr>
      <w:tr>
        <w:trPr>
          <w:cantSplit/>
        </w:trPr>
        <w:tc>
          <w:tcPr>
            <w:tcW w:type="dxa" w:w="1917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REWE Dortmund и LYDIA, S24</w:t>
            </w:r>
          </w:p>
        </w:tc>
        <w:tc>
          <w:tcPr>
            <w:tcW w:type="dxa" w:w="2523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Голосовое исполнение в свежих овощах и фруктах, параллельность голосовых систем</w:t>
            </w:r>
          </w:p>
        </w:tc>
        <w:tc>
          <w:tcPr>
            <w:tcW w:type="dxa" w:w="28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RW44 RW46; эргономика и совместимость исполнителей</w:t>
            </w:r>
          </w:p>
        </w:tc>
        <w:tc>
          <w:tcPr>
            <w:tcW w:type="dxa" w:w="28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Не доказывает использование LFS как основной WMS</w:t>
            </w:r>
          </w:p>
        </w:tc>
      </w:tr>
      <w:tr>
        <w:trPr>
          <w:cantSplit/>
        </w:trPr>
        <w:tc>
          <w:tcPr>
            <w:tcW w:type="dxa" w:w="1917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HAVI и Infor, S25</w:t>
            </w:r>
          </w:p>
        </w:tc>
        <w:tc>
          <w:tcPr>
            <w:tcW w:type="dxa" w:w="2523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Стандартизация распределительных площадок и доступ к данным</w:t>
            </w:r>
          </w:p>
        </w:tc>
        <w:tc>
          <w:tcPr>
            <w:tcW w:type="dxa" w:w="28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RW04 RW53 RW54; шаблон площадки с локальными политиками</w:t>
            </w:r>
          </w:p>
        </w:tc>
        <w:tc>
          <w:tcPr>
            <w:tcW w:type="dxa" w:w="28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Пищевой логистический оператор, а не магазин у дома</w:t>
            </w:r>
          </w:p>
        </w:tc>
      </w:tr>
      <w:tr>
        <w:trPr>
          <w:cantSplit/>
        </w:trPr>
        <w:tc>
          <w:tcPr>
            <w:tcW w:type="dxa" w:w="1917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Grocery обзор Manhattan, S21</w:t>
            </w:r>
          </w:p>
        </w:tc>
        <w:tc>
          <w:tcPr>
            <w:tcW w:type="dxa" w:w="2523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Согласование склада, труда и перевозки, отраслевые кейсы</w:t>
            </w:r>
          </w:p>
        </w:tc>
        <w:tc>
          <w:tcPr>
            <w:tcW w:type="dxa" w:w="28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BP04 BP06 BP08 и сквозные показатели</w:t>
            </w:r>
          </w:p>
        </w:tc>
        <w:tc>
          <w:tcPr>
            <w:tcW w:type="dxa" w:w="28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Маркетинговый обзор, не независимый бенчмарк</w:t>
            </w:r>
          </w:p>
        </w:tc>
      </w:tr>
      <w:tr>
        <w:trPr>
          <w:cantSplit/>
        </w:trPr>
        <w:tc>
          <w:tcPr>
            <w:tcW w:type="dxa" w:w="1917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Mecalux Store Fulfillment, S27</w:t>
            </w:r>
          </w:p>
        </w:tc>
        <w:tc>
          <w:tcPr>
            <w:tcW w:type="dxa" w:w="2523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Отдельная связь склада и магазинных операций</w:t>
            </w:r>
          </w:p>
        </w:tc>
        <w:tc>
          <w:tcPr>
            <w:tcW w:type="dxa" w:w="28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Явная граница WMS и магазинной системы</w:t>
            </w:r>
          </w:p>
        </w:tc>
        <w:tc>
          <w:tcPr>
            <w:tcW w:type="dxa" w:w="28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Дополнительный модуль, не обязательное ядро всех WMS</w:t>
            </w:r>
          </w:p>
        </w:tc>
      </w:tr>
    </w:tbl>
    <w:p>
      <w:pPr>
        <w:spacing w:after="40"/>
      </w:pPr>
    </w:p>
    <w:p>
      <w:pPr/>
      <w:r>
        <w:rPr>
          <w:rFonts w:ascii="Arial" w:hAnsi="Arial" w:cs="Arial" w:eastAsia="Arial"/>
          <w:b w:val="0"/>
          <w:sz w:val="22"/>
          <w:cs w:val="0"/>
        </w:rPr>
        <w:t>Экономические проценты из клиентских историй не перенесены в прогноз эффекта для абстрактной сети. Для оценки эффекта требуется собственный baseline ошибок, трудозатрат, потерь и стоимости доставки.</w:t>
      </w:r>
    </w:p>
    <w:p>
      <w:pPr>
        <w:pStyle w:val="Heading1"/>
      </w:pPr>
      <w:r>
        <w:t>Из каких решений собран стандарт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Из процессной декомпозиции SAP полезно разделение входа, внутреннего потока, выхода и cross functional scope. Из каталога Infor — соединение запаса, разных методов отбора и управления трудом. Manhattan подчёркивает непрерывное исполнение и связь автоматизации с ресурсами. AXELOT даёт подробный пример настройки стратегий и контроля операций. Эти принципы используются как структура требований; они не делают обязательной конкретную платформу, лицензию или микросервисный подход.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Blue Yonder расширяет набор сравнения оркестрацией ресурсов и slotting, Oracle — retail ориентированным распределением и flow through, Infios — выбором модульного состава, EPG — подробной декомпозицией складских технологий, Mecalux — сопряжением ручного и автоматизированного склада. Каждая возможность включается по необходимости процесса и проверяется отдельным тестом.</w:t>
      </w:r>
    </w:p>
    <w:p>
      <w:pPr>
        <w:pStyle w:val="Heading1"/>
      </w:pPr>
      <w:r>
        <w:t>Дополнительные кандидаты Gartner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Публичный WMS abstract от 29.04.2026 включает Blue Yonder, Oracle, Infios, EPG и Mecalux; они добавлены к четырём запрошенным WMS. Для TMS abstract от 30.03.2026 использованы Blue Yonder, Oracle, Infios, e2open и Alpega. Это два разных списка рынка. AXELOT и Infor Nexus не объявляются участниками TMS списка. Закрытые графики, точные позиции и оценки Gartner не воспроизводились.</w:t>
      </w:r>
    </w:p>
    <w:p>
      <w:pPr>
        <w:pStyle w:val="Heading1"/>
      </w:pPr>
      <w:r>
        <w:t>Экологические показатели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 xml:space="preserve">В WMS имеет смысл измерять порчу, истечение срока, расход упаковки и оборот тары по фактам. В TMS — топливо, порожний пробег и расчётные выбросы с методикой и версией коэффициентов. </w:t>
      </w:r>
      <w:hyperlink r:id="rId10">
        <w:r>
          <w:rPr>
            <w:rFonts w:ascii="Arial" w:hAnsi="Arial" w:cs="Arial" w:eastAsia="Arial"/>
            <w:color w:val="215E86"/>
            <w:u w:val="single"/>
          </w:rPr>
          <w:t>GLEC Framework</w:t>
        </w:r>
      </w:hyperlink>
      <w:r>
        <w:rPr>
          <w:rFonts w:ascii="Arial" w:hAnsi="Arial" w:cs="Arial" w:eastAsia="Arial"/>
          <w:b w:val="0"/>
          <w:sz w:val="22"/>
          <w:cs w:val="0"/>
        </w:rPr>
        <w:t xml:space="preserve"> служит возможной методологической основой; это не требование собственной сертификации продукта. Показатели должны различать фактическое измерение и оценку, чтобы оптимизация километров не выдавалась за измеренное снижение CO2e.</w:t>
      </w:r>
    </w:p>
    <w:p>
      <w:pPr>
        <w:pStyle w:val="Heading1"/>
      </w:pPr>
      <w:r>
        <w:t>Реестр первичных материалов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Дата обращения ко всем материалам 17 сентября 2026 года. Относительные даты поискового индекса не заменяют указанную дату публикации документа.</w:t>
      </w:r>
    </w:p>
    <w:p>
      <w:pPr>
        <w:pStyle w:val="Heading2"/>
      </w:pPr>
      <w:r>
        <w:t>S01 SAP EWM функции</w:t>
      </w:r>
    </w:p>
    <w:p>
      <w:pPr/>
      <w:hyperlink r:id="rId11">
        <w:r>
          <w:rPr>
            <w:rFonts w:ascii="Arial" w:hAnsi="Arial" w:cs="Arial" w:eastAsia="Arial"/>
            <w:color w:val="215E86"/>
            <w:u w:val="single"/>
          </w:rPr>
          <w:t>SAP EWM функции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каталог; базовая и расширенная поставки; функциональные семейства, не доказательство конкретного внедрения.</w:t>
      </w:r>
    </w:p>
    <w:p>
      <w:pPr>
        <w:pStyle w:val="Heading2"/>
      </w:pPr>
      <w:r>
        <w:t>S02 Infor WMS функции</w:t>
      </w:r>
    </w:p>
    <w:p>
      <w:pPr/>
      <w:hyperlink r:id="rId12">
        <w:r>
          <w:rPr>
            <w:rFonts w:ascii="Arial" w:hAnsi="Arial" w:cs="Arial" w:eastAsia="Arial"/>
            <w:color w:val="215E86"/>
            <w:u w:val="single"/>
          </w:rPr>
          <w:t>Infor WMS функции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каталог; конфигурация, модули и условия облачной поставки требуют уточнения.</w:t>
      </w:r>
    </w:p>
    <w:p>
      <w:pPr>
        <w:pStyle w:val="Heading2"/>
      </w:pPr>
      <w:r>
        <w:t>S03 Manhattan ActiveWarehouse</w:t>
      </w:r>
    </w:p>
    <w:p>
      <w:pPr/>
      <w:hyperlink r:id="rId13">
        <w:r>
          <w:rPr>
            <w:rFonts w:ascii="Arial" w:hAnsi="Arial" w:cs="Arial" w:eastAsia="Arial"/>
            <w:color w:val="215E86"/>
            <w:u w:val="single"/>
          </w:rPr>
          <w:t>Manhattan ActiveWarehouse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каталог; редакции Essentials, Enterprise и Enterprise Premier не считаются одинаковыми.</w:t>
      </w:r>
    </w:p>
    <w:p>
      <w:pPr>
        <w:pStyle w:val="Heading2"/>
      </w:pPr>
      <w:r>
        <w:t>S04 AXELOT WMS X5 функции</w:t>
      </w:r>
    </w:p>
    <w:p>
      <w:pPr/>
      <w:hyperlink r:id="rId14">
        <w:r>
          <w:rPr>
            <w:rFonts w:ascii="Arial" w:hAnsi="Arial" w:cs="Arial" w:eastAsia="Arial"/>
            <w:color w:val="215E86"/>
            <w:u w:val="single"/>
          </w:rPr>
          <w:t>AXELOT WMS X5 функции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процессный каталог; SCAP, MOBILE и другие компоненты учитывать отдельно.</w:t>
      </w:r>
    </w:p>
    <w:p>
      <w:pPr>
        <w:pStyle w:val="Heading2"/>
      </w:pPr>
      <w:r>
        <w:t>S05 Blue Yonder Warehouse Management</w:t>
      </w:r>
    </w:p>
    <w:p>
      <w:pPr/>
      <w:hyperlink r:id="rId15">
        <w:r>
          <w:rPr>
            <w:rFonts w:ascii="Arial" w:hAnsi="Arial" w:cs="Arial" w:eastAsia="Arial"/>
            <w:color w:val="215E86"/>
            <w:u w:val="single"/>
          </w:rPr>
          <w:t>Blue Yonder Warehouse Management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 семейства; подробная граница модулей уточняется в предложении.</w:t>
      </w:r>
    </w:p>
    <w:p>
      <w:pPr>
        <w:pStyle w:val="Heading2"/>
      </w:pPr>
      <w:r>
        <w:t>S06 Oracle Warehouse Management Cloud</w:t>
      </w:r>
    </w:p>
    <w:p>
      <w:pPr/>
      <w:hyperlink r:id="rId16">
        <w:r>
          <w:rPr>
            <w:rFonts w:ascii="Arial" w:hAnsi="Arial" w:cs="Arial" w:eastAsia="Arial"/>
            <w:color w:val="215E86"/>
            <w:u w:val="single"/>
          </w:rPr>
          <w:t>Oracle Warehouse Management Cloud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продуктовый каталог; наличие Oracle Database в нашем проекте не означает наличие этого WMS продукта.</w:t>
      </w:r>
    </w:p>
    <w:p>
      <w:pPr>
        <w:pStyle w:val="Heading2"/>
      </w:pPr>
      <w:r>
        <w:t>S07 Infios Warehouse Management Systems</w:t>
      </w:r>
    </w:p>
    <w:p>
      <w:pPr/>
      <w:hyperlink r:id="rId17">
        <w:r>
          <w:rPr>
            <w:rFonts w:ascii="Arial" w:hAnsi="Arial" w:cs="Arial" w:eastAsia="Arial"/>
            <w:color w:val="215E86"/>
            <w:u w:val="single"/>
          </w:rPr>
          <w:t>Infios Warehouse Management Systems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 портфеля. До ответа вендора нельзя суммировать возможности разных продуктов и редакций как один внедряемый пакет.</w:t>
      </w:r>
    </w:p>
    <w:p>
      <w:pPr>
        <w:pStyle w:val="Heading2"/>
      </w:pPr>
      <w:r>
        <w:t>S08 EPG LFS модули</w:t>
      </w:r>
    </w:p>
    <w:p>
      <w:pPr/>
      <w:hyperlink r:id="rId18">
        <w:r>
          <w:rPr>
            <w:rFonts w:ascii="Arial" w:hAnsi="Arial" w:cs="Arial" w:eastAsia="Arial"/>
            <w:color w:val="215E86"/>
            <w:u w:val="single"/>
          </w:rPr>
          <w:t>EPG LFS модули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 основных и дополнительных модулей.</w:t>
      </w:r>
    </w:p>
    <w:p>
      <w:pPr>
        <w:pStyle w:val="Heading2"/>
      </w:pPr>
      <w:r>
        <w:t>S09 Mecalux Easy WMS</w:t>
      </w:r>
    </w:p>
    <w:p>
      <w:pPr/>
      <w:hyperlink r:id="rId19">
        <w:r>
          <w:rPr>
            <w:rFonts w:ascii="Arial" w:hAnsi="Arial" w:cs="Arial" w:eastAsia="Arial"/>
            <w:color w:val="215E86"/>
            <w:u w:val="single"/>
          </w:rPr>
          <w:t>Mecalux Easy WMS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Официальная страница прочитана через поисковый индекс; прямое открытие иногда возвращало неполное содержимое. Утверждения ограничены доступным текстом.</w:t>
      </w:r>
    </w:p>
    <w:p>
      <w:pPr>
        <w:pStyle w:val="Heading2"/>
      </w:pPr>
      <w:r>
        <w:t>S10 SAP Transportation Management функции</w:t>
      </w:r>
    </w:p>
    <w:p>
      <w:pPr/>
      <w:hyperlink r:id="rId20">
        <w:r>
          <w:rPr>
            <w:rFonts w:ascii="Arial" w:hAnsi="Arial" w:cs="Arial" w:eastAsia="Arial"/>
            <w:color w:val="215E86"/>
            <w:u w:val="single"/>
          </w:rPr>
          <w:t>SAP Transportation Management функции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каталог; функции TM не приписываются EWM.</w:t>
      </w:r>
    </w:p>
    <w:p>
      <w:pPr>
        <w:pStyle w:val="Heading2"/>
      </w:pPr>
      <w:r>
        <w:t>S11 Infor Nexus Global Transportation Management</w:t>
      </w:r>
    </w:p>
    <w:p>
      <w:pPr/>
      <w:hyperlink r:id="rId21">
        <w:r>
          <w:rPr>
            <w:rFonts w:ascii="Arial" w:hAnsi="Arial" w:cs="Arial" w:eastAsia="Arial"/>
            <w:color w:val="215E86"/>
            <w:u w:val="single"/>
          </w:rPr>
          <w:t>Infor Nexus Global Transportation Management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 глобального сетевого TMS; не доказательство подходящего мобильного контура для городского собственного парка.</w:t>
      </w:r>
    </w:p>
    <w:p>
      <w:pPr>
        <w:pStyle w:val="Heading2"/>
      </w:pPr>
      <w:r>
        <w:t>S12 Manhattan ActiveTransportation</w:t>
      </w:r>
    </w:p>
    <w:p>
      <w:pPr/>
      <w:hyperlink r:id="rId22">
        <w:r>
          <w:rPr>
            <w:rFonts w:ascii="Arial" w:hAnsi="Arial" w:cs="Arial" w:eastAsia="Arial"/>
            <w:color w:val="215E86"/>
            <w:u w:val="single"/>
          </w:rPr>
          <w:t>Manhattan ActiveTransportation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 планирования, исполнения, парка и расчётов.</w:t>
      </w:r>
    </w:p>
    <w:p>
      <w:pPr>
        <w:pStyle w:val="Heading2"/>
      </w:pPr>
      <w:r>
        <w:t>S13 AXELOT TMS функции</w:t>
      </w:r>
    </w:p>
    <w:p>
      <w:pPr/>
      <w:hyperlink r:id="rId23">
        <w:r>
          <w:rPr>
            <w:rFonts w:ascii="Arial" w:hAnsi="Arial" w:cs="Arial" w:eastAsia="Arial"/>
            <w:color w:val="215E86"/>
            <w:u w:val="single"/>
          </w:rPr>
          <w:t>AXELOT TMS функции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каталог; отдельно уточнять SCAP, MAPS, RTVP, MOBILE, лицензирование и интеграцию.</w:t>
      </w:r>
    </w:p>
    <w:p>
      <w:pPr>
        <w:pStyle w:val="Heading2"/>
      </w:pPr>
      <w:r>
        <w:t>S14 Blue Yonder Transportation Management</w:t>
      </w:r>
    </w:p>
    <w:p>
      <w:pPr/>
      <w:hyperlink r:id="rId24">
        <w:r>
          <w:rPr>
            <w:rFonts w:ascii="Arial" w:hAnsi="Arial" w:cs="Arial" w:eastAsia="Arial"/>
            <w:color w:val="215E86"/>
            <w:u w:val="single"/>
          </w:rPr>
          <w:t>Blue Yonder Transportation Management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каталог; сеть и дополнительные компоненты не объявляются автоматически включёнными.</w:t>
      </w:r>
    </w:p>
    <w:p>
      <w:pPr>
        <w:pStyle w:val="Heading2"/>
      </w:pPr>
      <w:r>
        <w:t>S15 Oracle Transportation Management</w:t>
      </w:r>
    </w:p>
    <w:p>
      <w:pPr/>
      <w:hyperlink r:id="rId25">
        <w:r>
          <w:rPr>
            <w:rFonts w:ascii="Arial" w:hAnsi="Arial" w:cs="Arial" w:eastAsia="Arial"/>
            <w:color w:val="215E86"/>
            <w:u w:val="single"/>
          </w:rPr>
          <w:t>Oracle Transportation Management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 OTM, Fleet и финансовых возможностей; состав подписки уточняется.</w:t>
      </w:r>
    </w:p>
    <w:p>
      <w:pPr>
        <w:pStyle w:val="Heading2"/>
      </w:pPr>
      <w:r>
        <w:t>S16 Infios Transportation Management</w:t>
      </w:r>
    </w:p>
    <w:p>
      <w:pPr/>
      <w:hyperlink r:id="rId26">
        <w:r>
          <w:rPr>
            <w:rFonts w:ascii="Arial" w:hAnsi="Arial" w:cs="Arial" w:eastAsia="Arial"/>
            <w:color w:val="215E86"/>
            <w:u w:val="single"/>
          </w:rPr>
          <w:t>Infios Transportation Management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Официальная страница прямо связывает текущее название с MercuryGate TMS; отдельные DSD и routing решения проверяются по составу поставки.</w:t>
      </w:r>
    </w:p>
    <w:p>
      <w:pPr>
        <w:pStyle w:val="Heading2"/>
      </w:pPr>
      <w:r>
        <w:t>S17 e2open Transportation Management</w:t>
      </w:r>
    </w:p>
    <w:p>
      <w:pPr/>
      <w:hyperlink r:id="rId27">
        <w:r>
          <w:rPr>
            <w:rFonts w:ascii="Arial" w:hAnsi="Arial" w:cs="Arial" w:eastAsia="Arial"/>
            <w:color w:val="215E86"/>
            <w:u w:val="single"/>
          </w:rPr>
          <w:t>e2open Transportation Management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каталог. В сравнении используется решение для грузовладельца, а не отдельный продукт для экспедитора или услуга LaaS.</w:t>
      </w:r>
    </w:p>
    <w:p>
      <w:pPr>
        <w:pStyle w:val="Heading2"/>
      </w:pPr>
      <w:r>
        <w:t>S18 Alpega TMS для грузовладельца</w:t>
      </w:r>
    </w:p>
    <w:p>
      <w:pPr/>
      <w:hyperlink r:id="rId28">
        <w:r>
          <w:rPr>
            <w:rFonts w:ascii="Arial" w:hAnsi="Arial" w:cs="Arial" w:eastAsia="Arial"/>
            <w:color w:val="215E86"/>
            <w:u w:val="single"/>
          </w:rPr>
          <w:t>Alpega TMS для грузовладельца</w:t>
        </w:r>
      </w:hyperlink>
      <w:r>
        <w:rPr>
          <w:rFonts w:ascii="Arial" w:hAnsi="Arial" w:cs="Arial" w:eastAsia="Arial"/>
          <w:b w:val="0"/>
          <w:sz w:val="22"/>
          <w:cs w:val="0"/>
        </w:rPr>
        <w:t>. Официальный каталог; дополнительные модули и сетевые подключения должны быть перечислены в смете.</w:t>
      </w:r>
    </w:p>
    <w:p>
      <w:pPr>
        <w:pStyle w:val="Heading2"/>
      </w:pPr>
      <w:r>
        <w:t>S19 Gartner WMS 2026</w:t>
      </w:r>
    </w:p>
    <w:p>
      <w:pPr/>
      <w:hyperlink r:id="rId29">
        <w:r>
          <w:rPr>
            <w:rFonts w:ascii="Arial" w:hAnsi="Arial" w:cs="Arial" w:eastAsia="Arial"/>
            <w:color w:val="215E86"/>
            <w:u w:val="single"/>
          </w:rPr>
          <w:t>Gartner WMS 2026</w:t>
        </w:r>
      </w:hyperlink>
      <w:r>
        <w:rPr>
          <w:rFonts w:ascii="Arial" w:hAnsi="Arial" w:cs="Arial" w:eastAsia="Arial"/>
          <w:b w:val="0"/>
          <w:sz w:val="22"/>
          <w:cs w:val="0"/>
        </w:rPr>
        <w:t>. Публичный abstract от 29.04.2026 подтверждает включение в исследование; закрытые оценки и размещение в квадранте не использовались.</w:t>
      </w:r>
    </w:p>
    <w:p>
      <w:pPr>
        <w:pStyle w:val="Heading2"/>
      </w:pPr>
      <w:r>
        <w:t>S20 Gartner TMS 2026</w:t>
      </w:r>
    </w:p>
    <w:p>
      <w:pPr/>
      <w:hyperlink r:id="rId30">
        <w:r>
          <w:rPr>
            <w:rFonts w:ascii="Arial" w:hAnsi="Arial" w:cs="Arial" w:eastAsia="Arial"/>
            <w:color w:val="215E86"/>
            <w:u w:val="single"/>
          </w:rPr>
          <w:t>Gartner TMS 2026</w:t>
        </w:r>
      </w:hyperlink>
      <w:r>
        <w:rPr>
          <w:rFonts w:ascii="Arial" w:hAnsi="Arial" w:cs="Arial" w:eastAsia="Arial"/>
          <w:b w:val="0"/>
          <w:sz w:val="22"/>
          <w:cs w:val="0"/>
        </w:rPr>
        <w:t>. Публичный abstract от 30.03.2026 подтверждает список участников. Infor и AXELOT не указаны в этом списке.</w:t>
      </w:r>
    </w:p>
    <w:p>
      <w:pPr>
        <w:pStyle w:val="Heading2"/>
      </w:pPr>
      <w:r>
        <w:t>S21 Manhattan решения для grocery</w:t>
      </w:r>
    </w:p>
    <w:p>
      <w:pPr/>
      <w:hyperlink r:id="rId31">
        <w:r>
          <w:rPr>
            <w:rFonts w:ascii="Arial" w:hAnsi="Arial" w:cs="Arial" w:eastAsia="Arial"/>
            <w:color w:val="215E86"/>
            <w:u w:val="single"/>
          </w:rPr>
          <w:t>Manhattan решения для grocery</w:t>
        </w:r>
      </w:hyperlink>
      <w:r>
        <w:rPr>
          <w:rFonts w:ascii="Arial" w:hAnsi="Arial" w:cs="Arial" w:eastAsia="Arial"/>
          <w:b w:val="0"/>
          <w:sz w:val="22"/>
          <w:cs w:val="0"/>
        </w:rPr>
        <w:t>. Отраслевой обзор и ссылки на клиентские истории; не конфиденциальный RFP ритейлера.</w:t>
      </w:r>
    </w:p>
    <w:p>
      <w:pPr>
        <w:pStyle w:val="Heading2"/>
      </w:pPr>
      <w:r>
        <w:t>S22 PLUS использует Manhattan TMS</w:t>
      </w:r>
    </w:p>
    <w:p>
      <w:pPr/>
      <w:hyperlink r:id="rId32">
        <w:r>
          <w:rPr>
            <w:rFonts w:ascii="Arial" w:hAnsi="Arial" w:cs="Arial" w:eastAsia="Arial"/>
            <w:color w:val="215E86"/>
            <w:u w:val="single"/>
          </w:rPr>
          <w:t>PLUS использует Manhattan TMS</w:t>
        </w:r>
      </w:hyperlink>
      <w:r>
        <w:rPr>
          <w:rFonts w:ascii="Arial" w:hAnsi="Arial" w:cs="Arial" w:eastAsia="Arial"/>
          <w:b w:val="0"/>
          <w:sz w:val="22"/>
          <w:cs w:val="0"/>
        </w:rPr>
        <w:t>. Сообщение 07.02.2022: входящие и исходящие потоки, моделирование сети; будущие цели не равны измеренным результатам.</w:t>
      </w:r>
    </w:p>
    <w:p>
      <w:pPr>
        <w:pStyle w:val="Heading2"/>
      </w:pPr>
      <w:r>
        <w:t>S23 Sainsburys и Blue Yonder</w:t>
      </w:r>
    </w:p>
    <w:p>
      <w:pPr/>
      <w:hyperlink r:id="rId33">
        <w:r>
          <w:rPr>
            <w:rFonts w:ascii="Arial" w:hAnsi="Arial" w:cs="Arial" w:eastAsia="Arial"/>
            <w:color w:val="215E86"/>
            <w:u w:val="single"/>
          </w:rPr>
          <w:t>Sainsburys и Blue Yonder</w:t>
        </w:r>
      </w:hyperlink>
      <w:r>
        <w:rPr>
          <w:rFonts w:ascii="Arial" w:hAnsi="Arial" w:cs="Arial" w:eastAsia="Arial"/>
          <w:b w:val="0"/>
          <w:sz w:val="22"/>
          <w:cs w:val="0"/>
        </w:rPr>
        <w:t>. Сообщение 21.04.2020 о выборе и программе развития; не подтверждает завершение всех внедрений к текущей дате.</w:t>
      </w:r>
    </w:p>
    <w:p>
      <w:pPr>
        <w:pStyle w:val="Heading2"/>
      </w:pPr>
      <w:r>
        <w:t>S24 REWE Dortmund и LYDIA VOICE</w:t>
      </w:r>
    </w:p>
    <w:p>
      <w:pPr/>
      <w:hyperlink r:id="rId34">
        <w:r>
          <w:rPr>
            <w:rFonts w:ascii="Arial" w:hAnsi="Arial" w:cs="Arial" w:eastAsia="Arial"/>
            <w:color w:val="215E86"/>
            <w:u w:val="single"/>
          </w:rPr>
          <w:t>REWE Dortmund и LYDIA VOICE</w:t>
        </w:r>
      </w:hyperlink>
      <w:r>
        <w:rPr>
          <w:rFonts w:ascii="Arial" w:hAnsi="Arial" w:cs="Arial" w:eastAsia="Arial"/>
          <w:b w:val="0"/>
          <w:sz w:val="22"/>
          <w:cs w:val="0"/>
        </w:rPr>
        <w:t>. Кейс голосового исполнения. Наличие LYDIA не доказывает, что базовая WMS у REWE — LFS.</w:t>
      </w:r>
    </w:p>
    <w:p>
      <w:pPr>
        <w:pStyle w:val="Heading2"/>
      </w:pPr>
      <w:r>
        <w:t>S25 HAVI стандартизация складов</w:t>
      </w:r>
    </w:p>
    <w:p>
      <w:pPr/>
      <w:hyperlink r:id="rId35">
        <w:r>
          <w:rPr>
            <w:rFonts w:ascii="Arial" w:hAnsi="Arial" w:cs="Arial" w:eastAsia="Arial"/>
            <w:color w:val="215E86"/>
            <w:u w:val="single"/>
          </w:rPr>
          <w:t>HAVI стандартизация складов</w:t>
        </w:r>
      </w:hyperlink>
      <w:r>
        <w:rPr>
          <w:rFonts w:ascii="Arial" w:hAnsi="Arial" w:cs="Arial" w:eastAsia="Arial"/>
          <w:b w:val="0"/>
          <w:sz w:val="22"/>
          <w:cs w:val="0"/>
        </w:rPr>
        <w:t>. Публичная история пищевого логистического оператора, а не магазинов у дома; полезна как практика типизации площадок.</w:t>
      </w:r>
    </w:p>
    <w:p>
      <w:pPr>
        <w:pStyle w:val="Heading2"/>
      </w:pPr>
      <w:r>
        <w:t>S26 Mecalux фото при приёмке и отправке</w:t>
      </w:r>
    </w:p>
    <w:p>
      <w:pPr/>
      <w:hyperlink r:id="rId36">
        <w:r>
          <w:rPr>
            <w:rFonts w:ascii="Arial" w:hAnsi="Arial" w:cs="Arial" w:eastAsia="Arial"/>
            <w:color w:val="215E86"/>
            <w:u w:val="single"/>
          </w:rPr>
          <w:t>Mecalux фото при приёмке и отправке</w:t>
        </w:r>
      </w:hyperlink>
      <w:r>
        <w:rPr>
          <w:rFonts w:ascii="Arial" w:hAnsi="Arial" w:cs="Arial" w:eastAsia="Arial"/>
          <w:b w:val="0"/>
          <w:sz w:val="22"/>
          <w:cs w:val="0"/>
        </w:rPr>
        <w:t>. Описание конкретной возможности регистрации изображений и инцидентов.</w:t>
      </w:r>
    </w:p>
    <w:p>
      <w:pPr>
        <w:pStyle w:val="Heading2"/>
      </w:pPr>
      <w:r>
        <w:t>S27 Mecalux Store Fulfillment</w:t>
      </w:r>
    </w:p>
    <w:p>
      <w:pPr/>
      <w:hyperlink r:id="rId37">
        <w:r>
          <w:rPr>
            <w:rFonts w:ascii="Arial" w:hAnsi="Arial" w:cs="Arial" w:eastAsia="Arial"/>
            <w:color w:val="215E86"/>
            <w:u w:val="single"/>
          </w:rPr>
          <w:t>Mecalux Store Fulfillment</w:t>
        </w:r>
      </w:hyperlink>
      <w:r>
        <w:rPr>
          <w:rFonts w:ascii="Arial" w:hAnsi="Arial" w:cs="Arial" w:eastAsia="Arial"/>
          <w:b w:val="0"/>
          <w:sz w:val="22"/>
          <w:cs w:val="0"/>
        </w:rPr>
        <w:t>. Отдельный модуль. Нельзя считать управление магазином обязательной частью любого WMS.</w:t>
      </w:r>
    </w:p>
    <w:p>
      <w:pPr>
        <w:pStyle w:val="Heading2"/>
      </w:pPr>
      <w:r>
        <w:t>S28 GS1 System Architecture</w:t>
      </w:r>
    </w:p>
    <w:p>
      <w:pPr/>
      <w:hyperlink r:id="rId38">
        <w:r>
          <w:rPr>
            <w:rFonts w:ascii="Arial" w:hAnsi="Arial" w:cs="Arial" w:eastAsia="Arial"/>
            <w:color w:val="215E86"/>
            <w:u w:val="single"/>
          </w:rPr>
          <w:t>GS1 System Architecture</w:t>
        </w:r>
      </w:hyperlink>
      <w:r>
        <w:rPr>
          <w:rFonts w:ascii="Arial" w:hAnsi="Arial" w:cs="Arial" w:eastAsia="Arial"/>
          <w:b w:val="0"/>
          <w:sz w:val="22"/>
          <w:cs w:val="0"/>
        </w:rPr>
        <w:t>. Первичный архитектурный стандарт; дополнительно проверен официальный справочник GS1 id keys через индекс. Прямой gs1.org иногда возвращал 403.</w:t>
      </w:r>
    </w:p>
    <w:p>
      <w:pPr>
        <w:pStyle w:val="Heading2"/>
      </w:pPr>
      <w:r>
        <w:t>S29 GS1 EPCIS</w:t>
      </w:r>
    </w:p>
    <w:p>
      <w:pPr/>
      <w:hyperlink r:id="rId39">
        <w:r>
          <w:rPr>
            <w:rFonts w:ascii="Arial" w:hAnsi="Arial" w:cs="Arial" w:eastAsia="Arial"/>
            <w:color w:val="215E86"/>
            <w:u w:val="single"/>
          </w:rPr>
          <w:t>GS1 EPCIS</w:t>
        </w:r>
      </w:hyperlink>
      <w:r>
        <w:rPr>
          <w:rFonts w:ascii="Arial" w:hAnsi="Arial" w:cs="Arial" w:eastAsia="Arial"/>
          <w:b w:val="0"/>
          <w:sz w:val="22"/>
          <w:cs w:val="0"/>
        </w:rPr>
        <w:t>. Первичный стандарт обмена событиями. EPCIS — возможный контракт, а не требование внедрять отдельную платформу.</w:t>
      </w:r>
    </w:p>
    <w:p>
      <w:pPr>
        <w:pStyle w:val="Heading2"/>
      </w:pPr>
      <w:r>
        <w:t>S30 GLEC Framework версия 3 2</w:t>
      </w:r>
    </w:p>
    <w:p>
      <w:pPr/>
      <w:hyperlink r:id="rId10">
        <w:r>
          <w:rPr>
            <w:rFonts w:ascii="Arial" w:hAnsi="Arial" w:cs="Arial" w:eastAsia="Arial"/>
            <w:color w:val="215E86"/>
            <w:u w:val="single"/>
          </w:rPr>
          <w:t>GLEC Framework версия 3 2</w:t>
        </w:r>
      </w:hyperlink>
      <w:r>
        <w:rPr>
          <w:rFonts w:ascii="Arial" w:hAnsi="Arial" w:cs="Arial" w:eastAsia="Arial"/>
          <w:b w:val="0"/>
          <w:sz w:val="22"/>
          <w:cs w:val="0"/>
        </w:rPr>
        <w:t>. Страница издателя, опубликована 30.06.2026, с названием версии October 2025. Версию документа не путать с датой веб публикации.</w:t>
      </w:r>
    </w:p>
    <w:p>
      <w:pPr>
        <w:pStyle w:val="Heading2"/>
      </w:pPr>
      <w:r>
        <w:t>S31 SAP merchandise distribution</w:t>
      </w:r>
    </w:p>
    <w:p>
      <w:pPr/>
      <w:hyperlink r:id="rId40">
        <w:r>
          <w:rPr>
            <w:rFonts w:ascii="Arial" w:hAnsi="Arial" w:cs="Arial" w:eastAsia="Arial"/>
            <w:color w:val="215E86"/>
            <w:u w:val="single"/>
          </w:rPr>
          <w:t>SAP merchandise distribution</w:t>
        </w:r>
      </w:hyperlink>
      <w:r>
        <w:rPr>
          <w:rFonts w:ascii="Arial" w:hAnsi="Arial" w:cs="Arial" w:eastAsia="Arial"/>
          <w:b w:val="0"/>
          <w:sz w:val="22"/>
          <w:cs w:val="0"/>
        </w:rPr>
        <w:t>. Доступное описание EWM 7.0 EHP1 подтверждает семантику flow through и crossdock; оно не доказывает лицензирование или API текущей редакции.</w:t>
      </w:r>
    </w:p>
    <w:p>
      <w:pPr>
        <w:pStyle w:val="Heading1"/>
      </w:pPr>
      <w:r>
        <w:t>Локальное основание</w:t>
      </w:r>
    </w:p>
    <w:p>
      <w:pPr/>
      <w:hyperlink r:id="rId41">
        <w:r>
          <w:rPr>
            <w:rFonts w:ascii="Arial" w:hAnsi="Arial" w:cs="Arial" w:eastAsia="Arial"/>
            <w:color w:val="215E86"/>
            <w:u w:val="single"/>
          </w:rPr>
          <w:t>Реестр доказательств E01–E33</w:t>
        </w:r>
      </w:hyperlink>
      <w:r>
        <w:rPr>
          <w:rFonts w:ascii="Arial" w:hAnsi="Arial" w:cs="Arial" w:eastAsia="Arial"/>
          <w:b w:val="0"/>
          <w:sz w:val="22"/>
          <w:cs w:val="0"/>
        </w:rPr>
        <w:t xml:space="preserve"> содержит конкретные файлы текущего проекта. Для code gap использовались найденные реализации, а не только тексты будущих ТЗ. При этом обследование было целевым, а не полным запуском всех legacy процедур. Неизвестные области сохранены как неизвестные.</w:t>
      </w:r>
    </w:p>
    <w:sectPr w:rsidR="00FC693F" w:rsidRPr="0006063C" w:rsidSect="00034616">
      <w:footerReference w:type="default" r:id="rId9"/>
      <w:pgSz w:w="11906" w:h="16838"/>
      <w:pgMar w:top="907" w:right="907" w:bottom="964" w:left="90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6"/>
      </w:rPr>
      <w:t xml:space="preserve">Retail WMS TMS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 w:cs="Arial" w:eastAsia="Arial"/>
      <w:b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9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59" w:lineRule="auto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 w:line="259" w:lineRule="auto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 w:before="0"/>
      <w:contextualSpacing/>
    </w:pPr>
    <w:rPr>
      <w:rFonts w:asciiTheme="majorHAnsi" w:eastAsiaTheme="majorEastAsia" w:hAnsiTheme="majorHAnsi" w:cstheme="majorBidi" w:ascii="Arial" w:hAnsi="Arial" w:cs="Arial" w:eastAsia="Arial"/>
      <w:b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smartfreightcentre.org/news/13311209" TargetMode="External"/><Relationship Id="rId11" Type="http://schemas.openxmlformats.org/officeDocument/2006/relationships/hyperlink" Target="https://www.sap.com/products/scm/extended-warehouse-management/features.html" TargetMode="External"/><Relationship Id="rId12" Type="http://schemas.openxmlformats.org/officeDocument/2006/relationships/hyperlink" Target="https://www.infor.com/en-gb/solutions/scm/warehouse-management-system" TargetMode="External"/><Relationship Id="rId13" Type="http://schemas.openxmlformats.org/officeDocument/2006/relationships/hyperlink" Target="https://www.manh.com/solutions/supply-chain-management-software/warehouse-management" TargetMode="External"/><Relationship Id="rId14" Type="http://schemas.openxmlformats.org/officeDocument/2006/relationships/hyperlink" Target="https://www.axelot.ru/product/axelot-wms-x5/functionality/" TargetMode="External"/><Relationship Id="rId15" Type="http://schemas.openxmlformats.org/officeDocument/2006/relationships/hyperlink" Target="https://blueyonder.com/solutions/warehouse-management" TargetMode="External"/><Relationship Id="rId16" Type="http://schemas.openxmlformats.org/officeDocument/2006/relationships/hyperlink" Target="https://www.oracle.com/scm/logistics/warehouse-management/" TargetMode="External"/><Relationship Id="rId17" Type="http://schemas.openxmlformats.org/officeDocument/2006/relationships/hyperlink" Target="https://www.infios.com/en/supply-chain-solutions/warehouse-management-systems" TargetMode="External"/><Relationship Id="rId18" Type="http://schemas.openxmlformats.org/officeDocument/2006/relationships/hyperlink" Target="https://epg.com/gb/logistics-software/warehouse-management-system-lfswms/lfs-modules/" TargetMode="External"/><Relationship Id="rId19" Type="http://schemas.openxmlformats.org/officeDocument/2006/relationships/hyperlink" Target="https://www.mecalux.com/software/warehouse-management-system-wms" TargetMode="External"/><Relationship Id="rId20" Type="http://schemas.openxmlformats.org/officeDocument/2006/relationships/hyperlink" Target="https://www.sap.com/products/scm/transportation-logistics/features.html" TargetMode="External"/><Relationship Id="rId21" Type="http://schemas.openxmlformats.org/officeDocument/2006/relationships/hyperlink" Target="https://www.infor.com/mea/solutions/scm/infor-nexus/transportation-management" TargetMode="External"/><Relationship Id="rId22" Type="http://schemas.openxmlformats.org/officeDocument/2006/relationships/hyperlink" Target="https://www.manh.com/solutions/supply-chain-management-software/transportation-management" TargetMode="External"/><Relationship Id="rId23" Type="http://schemas.openxmlformats.org/officeDocument/2006/relationships/hyperlink" Target="https://www.axelot.ru/product/axelot-tms/functionality/" TargetMode="External"/><Relationship Id="rId24" Type="http://schemas.openxmlformats.org/officeDocument/2006/relationships/hyperlink" Target="https://blueyonder.com/solutions/transportation-management" TargetMode="External"/><Relationship Id="rId25" Type="http://schemas.openxmlformats.org/officeDocument/2006/relationships/hyperlink" Target="https://www.oracle.com/scm/logistics/transportation-management/" TargetMode="External"/><Relationship Id="rId26" Type="http://schemas.openxmlformats.org/officeDocument/2006/relationships/hyperlink" Target="https://www.infios.com/en/supply-chain-solutions/transportation-management" TargetMode="External"/><Relationship Id="rId27" Type="http://schemas.openxmlformats.org/officeDocument/2006/relationships/hyperlink" Target="https://www.e2open.com/logistics/transportation-management" TargetMode="External"/><Relationship Id="rId28" Type="http://schemas.openxmlformats.org/officeDocument/2006/relationships/hyperlink" Target="https://www.alpegagroup.com/en-en/transport-management-system/" TargetMode="External"/><Relationship Id="rId29" Type="http://schemas.openxmlformats.org/officeDocument/2006/relationships/hyperlink" Target="https://www.gartner.com/en/documents/7780053" TargetMode="External"/><Relationship Id="rId30" Type="http://schemas.openxmlformats.org/officeDocument/2006/relationships/hyperlink" Target="https://www.gartner.com/en/documents/7645129" TargetMode="External"/><Relationship Id="rId31" Type="http://schemas.openxmlformats.org/officeDocument/2006/relationships/hyperlink" Target="https://www.manh.com/industries/grocery" TargetMode="External"/><Relationship Id="rId32" Type="http://schemas.openxmlformats.org/officeDocument/2006/relationships/hyperlink" Target="https://www.manh.com/en-au/about-us/newsroom/press-releases/plus-turns-manhattan-associates-cloud-solution-streamline" TargetMode="External"/><Relationship Id="rId33" Type="http://schemas.openxmlformats.org/officeDocument/2006/relationships/hyperlink" Target="https://media.blueyonder.com/sainsburys-feeds-its-supply-chain-strategy-with-blue-yonder/" TargetMode="External"/><Relationship Id="rId34" Type="http://schemas.openxmlformats.org/officeDocument/2006/relationships/hyperlink" Target="https://epg.com/us/newsroom/rewe-dortmund-adopts-lydia-voice/" TargetMode="External"/><Relationship Id="rId35" Type="http://schemas.openxmlformats.org/officeDocument/2006/relationships/hyperlink" Target="https://prd-xme.infor.com/en-nl/customer-stories/havi-warehouse-transformation-at-scale" TargetMode="External"/><Relationship Id="rId36" Type="http://schemas.openxmlformats.org/officeDocument/2006/relationships/hyperlink" Target="https://www.mecalux.com/software/updates/photo-capture" TargetMode="External"/><Relationship Id="rId37" Type="http://schemas.openxmlformats.org/officeDocument/2006/relationships/hyperlink" Target="https://www.mecalux.com/software/store-fulfillment" TargetMode="External"/><Relationship Id="rId38" Type="http://schemas.openxmlformats.org/officeDocument/2006/relationships/hyperlink" Target="https://ref.gs1.org/architecture/system-architecture/" TargetMode="External"/><Relationship Id="rId39" Type="http://schemas.openxmlformats.org/officeDocument/2006/relationships/hyperlink" Target="https://ref.gs1.org/standards/epcis/" TargetMode="External"/><Relationship Id="rId40" Type="http://schemas.openxmlformats.org/officeDocument/2006/relationships/hyperlink" Target="https://help.sap.com/docs/SAP_SUPPLY_CHAIN_MANAGEMENT/dc8e3ce481cc493aad2145b99e6c53eb/47264dbd1bc94575b37a520acf8fcdf9.html" TargetMode="External"/><Relationship Id="rId41" Type="http://schemas.openxmlformats.org/officeDocument/2006/relationships/hyperlink" Target="08_current_system_ga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Источники и практики для общего retail стандарта</dc:title>
  <dc:subject>Общий стандарт для сети магазинов у дома</dc:subject>
  <dc:creator>Исследование требований WMS и TMS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