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Стандарт WMS и TMS для сети магазинов у дома</w:t>
      </w:r>
    </w:p>
    <w:p>
      <w:pPr/>
      <w:r>
        <w:rPr>
          <w:rFonts w:ascii="Arial" w:hAnsi="Arial" w:cs="Arial" w:eastAsia="Arial"/>
          <w:b w:val="0"/>
          <w:sz w:val="22"/>
          <w:cs w:val="0"/>
        </w:rPr>
        <w:t>Версия 1.0 · 17 сентября 2026 года.</w:t>
      </w:r>
    </w:p>
    <w:p>
      <w:pPr>
        <w:pStyle w:val="Heading1"/>
      </w:pPr>
      <w:r>
        <w:t>Назначение и главный вывод</w:t>
      </w:r>
    </w:p>
    <w:p>
      <w:pPr/>
      <w:r>
        <w:rPr>
          <w:rFonts w:ascii="Arial" w:hAnsi="Arial" w:cs="Arial" w:eastAsia="Arial"/>
          <w:b w:val="0"/>
          <w:sz w:val="22"/>
          <w:cs w:val="0"/>
        </w:rPr>
        <w:t>Это общий стандарт розничной складской и транспортной системы, независимый от NIKORA. Он определяет обязательное ядро, условные профили и развитие, позволяет запрашивать сопоставимые ответы вендоров и оценивать недостающие возможности собственной системы.</w:t>
      </w:r>
    </w:p>
    <w:p>
      <w:pPr/>
      <w:r>
        <w:rPr>
          <w:rFonts w:ascii="Arial" w:hAnsi="Arial" w:cs="Arial" w:eastAsia="Arial"/>
          <w:b w:val="0"/>
          <w:sz w:val="22"/>
          <w:cs w:val="0"/>
        </w:rPr>
        <w:t>Для текущего проекта рекомендовано развитие существующего ядра, а не его полная замена. В коде есть складской остаток, волны, задачи, ресурсы, резервы, пополнение и коробочный отбор. Наиболее важные gaps — сквозные гарантии свежести на дату доставки, независимого фактического веса, качества, обмена, отзыва партии и построчного подтверждения магазина. Статический анализ конкретных путей отделён от отсутствующей новой live приёмки.</w:t>
      </w:r>
    </w:p>
    <w:p>
      <w:pPr>
        <w:pStyle w:val="Heading1"/>
      </w:pPr>
      <w:r>
        <w:t>Состав пакета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90" w:type="dxa"/>
          <w:right w:w="90" w:type="dxa"/>
        </w:tblCellMar>
      </w:tblPr>
      <w:tblGrid>
        <w:gridCol w:w="2926"/>
        <w:gridCol w:w="7165"/>
      </w:tblGrid>
      <w:tr>
        <w:trPr>
          <w:cantSplit/>
          <w:tblHeader/>
        </w:trPr>
        <w:tc>
          <w:tcPr>
            <w:tcW w:type="dxa" w:w="2926"/>
            <w:vAlign w:val="center"/>
            <w:shd w:fill="24445C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rFonts w:ascii="Arial" w:hAnsi="Arial" w:cs="Arial" w:eastAsia="Arial"/>
                <w:b/>
                <w:color w:val="FFFFFF"/>
                <w:sz w:val="20"/>
                <w:cs w:val="0"/>
              </w:rPr>
              <w:t>Документ</w:t>
            </w:r>
          </w:p>
        </w:tc>
        <w:tc>
          <w:tcPr>
            <w:tcW w:type="dxa" w:w="7165"/>
            <w:vAlign w:val="center"/>
            <w:shd w:fill="24445C"/>
          </w:tcPr>
          <w:p>
            <w:pPr>
              <w:keepNext/>
              <w:spacing w:after="20" w:before="20" w:line="252" w:lineRule="auto"/>
            </w:pPr>
            <w:r>
              <w:rPr>
                <w:rFonts w:ascii="Arial" w:hAnsi="Arial" w:cs="Arial" w:eastAsia="Arial"/>
                <w:b/>
                <w:color w:val="FFFFFF"/>
                <w:sz w:val="20"/>
                <w:cs w:val="0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926"/>
            <w:vAlign w:val="center"/>
            <w:shd w:fill="FFFFFF"/>
          </w:tcPr>
          <w:p>
            <w:pPr>
              <w:keepNext w:val="0"/>
              <w:spacing w:after="20" w:before="20" w:line="252" w:lineRule="auto"/>
            </w:pPr>
            <w:hyperlink r:id="rId10">
              <w:r>
                <w:rPr>
                  <w:rFonts w:ascii="Arial" w:hAnsi="Arial" w:cs="Arial" w:eastAsia="Arial"/>
                  <w:color w:val="000000"/>
                  <w:u w:val="single"/>
                  <w:sz w:val="20"/>
                </w:rPr>
                <w:t>Стандарт WMS</w:t>
              </w:r>
            </w:hyperlink>
          </w:p>
        </w:tc>
        <w:tc>
          <w:tcPr>
            <w:tcW w:type="dxa" w:w="7165"/>
            <w:vAlign w:val="center"/>
            <w:shd w:fill="FFFFFF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60 требований RW01–RW60 по полному жизненному циклу склада</w:t>
            </w:r>
          </w:p>
        </w:tc>
      </w:tr>
      <w:tr>
        <w:trPr>
          <w:cantSplit/>
        </w:trPr>
        <w:tc>
          <w:tcPr>
            <w:tcW w:type="dxa" w:w="2926"/>
            <w:vAlign w:val="center"/>
            <w:shd w:fill="F1F4F6"/>
          </w:tcPr>
          <w:p>
            <w:pPr>
              <w:keepNext w:val="0"/>
              <w:spacing w:after="20" w:before="20" w:line="252" w:lineRule="auto"/>
            </w:pPr>
            <w:hyperlink r:id="rId11">
              <w:r>
                <w:rPr>
                  <w:rFonts w:ascii="Arial" w:hAnsi="Arial" w:cs="Arial" w:eastAsia="Arial"/>
                  <w:color w:val="000000"/>
                  <w:u w:val="single"/>
                  <w:sz w:val="20"/>
                </w:rPr>
                <w:t>Стандарт TMS</w:t>
              </w:r>
            </w:hyperlink>
          </w:p>
        </w:tc>
        <w:tc>
          <w:tcPr>
            <w:tcW w:type="dxa" w:w="7165"/>
            <w:vAlign w:val="center"/>
            <w:shd w:fill="F1F4F6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40 требований RT01–RT40; перевозки отдельно от складского учёта</w:t>
            </w:r>
          </w:p>
        </w:tc>
      </w:tr>
      <w:tr>
        <w:trPr>
          <w:cantSplit/>
        </w:trPr>
        <w:tc>
          <w:tcPr>
            <w:tcW w:type="dxa" w:w="2926"/>
            <w:vAlign w:val="center"/>
            <w:shd w:fill="FFFFFF"/>
          </w:tcPr>
          <w:p>
            <w:pPr>
              <w:keepNext w:val="0"/>
              <w:spacing w:after="20" w:before="20" w:line="252" w:lineRule="auto"/>
            </w:pPr>
            <w:hyperlink r:id="rId12">
              <w:r>
                <w:rPr>
                  <w:rFonts w:ascii="Arial" w:hAnsi="Arial" w:cs="Arial" w:eastAsia="Arial"/>
                  <w:color w:val="000000"/>
                  <w:u w:val="single"/>
                  <w:sz w:val="20"/>
                </w:rPr>
                <w:t>Архитектура и процессы</w:t>
              </w:r>
            </w:hyperlink>
          </w:p>
        </w:tc>
        <w:tc>
          <w:tcPr>
            <w:tcW w:type="dxa" w:w="7165"/>
            <w:vAlign w:val="center"/>
            <w:shd w:fill="FFFFFF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Владельцы данных, 12 процессов, состояния, сообщения и минимальные расширения</w:t>
            </w:r>
          </w:p>
        </w:tc>
      </w:tr>
      <w:tr>
        <w:trPr>
          <w:cantSplit/>
        </w:trPr>
        <w:tc>
          <w:tcPr>
            <w:tcW w:type="dxa" w:w="2926"/>
            <w:vAlign w:val="center"/>
            <w:shd w:fill="F1F4F6"/>
          </w:tcPr>
          <w:p>
            <w:pPr>
              <w:keepNext w:val="0"/>
              <w:spacing w:after="20" w:before="20" w:line="252" w:lineRule="auto"/>
            </w:pPr>
            <w:hyperlink r:id="rId13">
              <w:r>
                <w:rPr>
                  <w:rFonts w:ascii="Arial" w:hAnsi="Arial" w:cs="Arial" w:eastAsia="Arial"/>
                  <w:color w:val="000000"/>
                  <w:u w:val="single"/>
                  <w:sz w:val="20"/>
                </w:rPr>
                <w:t>Опросник WMS</w:t>
              </w:r>
            </w:hyperlink>
          </w:p>
        </w:tc>
        <w:tc>
          <w:tcPr>
            <w:tcW w:type="dxa" w:w="7165"/>
            <w:vAlign w:val="center"/>
            <w:shd w:fill="F1F4F6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Вопрос, индивидуальный вес, демонстрация и поля ответа</w:t>
            </w:r>
          </w:p>
        </w:tc>
      </w:tr>
      <w:tr>
        <w:trPr>
          <w:cantSplit/>
        </w:trPr>
        <w:tc>
          <w:tcPr>
            <w:tcW w:type="dxa" w:w="2926"/>
            <w:vAlign w:val="center"/>
            <w:shd w:fill="FFFFFF"/>
          </w:tcPr>
          <w:p>
            <w:pPr>
              <w:keepNext w:val="0"/>
              <w:spacing w:after="20" w:before="20" w:line="252" w:lineRule="auto"/>
            </w:pPr>
            <w:hyperlink r:id="rId14">
              <w:r>
                <w:rPr>
                  <w:rFonts w:ascii="Arial" w:hAnsi="Arial" w:cs="Arial" w:eastAsia="Arial"/>
                  <w:color w:val="000000"/>
                  <w:u w:val="single"/>
                  <w:sz w:val="20"/>
                </w:rPr>
                <w:t>Опросник TMS</w:t>
              </w:r>
            </w:hyperlink>
          </w:p>
        </w:tc>
        <w:tc>
          <w:tcPr>
            <w:tcW w:type="dxa" w:w="7165"/>
            <w:vAlign w:val="center"/>
            <w:shd w:fill="FFFFFF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Самостоятельная форма для транспортного вендора</w:t>
            </w:r>
          </w:p>
        </w:tc>
      </w:tr>
      <w:tr>
        <w:trPr>
          <w:cantSplit/>
        </w:trPr>
        <w:tc>
          <w:tcPr>
            <w:tcW w:type="dxa" w:w="2926"/>
            <w:vAlign w:val="center"/>
            <w:shd w:fill="F1F4F6"/>
          </w:tcPr>
          <w:p>
            <w:pPr>
              <w:keepNext w:val="0"/>
              <w:spacing w:after="20" w:before="20" w:line="252" w:lineRule="auto"/>
            </w:pPr>
            <w:hyperlink r:id="rId15">
              <w:r>
                <w:rPr>
                  <w:rFonts w:ascii="Arial" w:hAnsi="Arial" w:cs="Arial" w:eastAsia="Arial"/>
                  <w:color w:val="000000"/>
                  <w:u w:val="single"/>
                  <w:sz w:val="20"/>
                </w:rPr>
                <w:t>Сравнение WMS</w:t>
              </w:r>
            </w:hyperlink>
          </w:p>
        </w:tc>
        <w:tc>
          <w:tcPr>
            <w:tcW w:type="dxa" w:w="7165"/>
            <w:vAlign w:val="center"/>
            <w:shd w:fill="F1F4F6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60 × 9 = 540 предварительных ответов со ссылками на источники</w:t>
            </w:r>
          </w:p>
        </w:tc>
      </w:tr>
      <w:tr>
        <w:trPr>
          <w:cantSplit/>
        </w:trPr>
        <w:tc>
          <w:tcPr>
            <w:tcW w:type="dxa" w:w="2926"/>
            <w:vAlign w:val="center"/>
            <w:shd w:fill="FFFFFF"/>
          </w:tcPr>
          <w:p>
            <w:pPr>
              <w:keepNext w:val="0"/>
              <w:spacing w:after="20" w:before="20" w:line="252" w:lineRule="auto"/>
            </w:pPr>
            <w:hyperlink r:id="rId16">
              <w:r>
                <w:rPr>
                  <w:rFonts w:ascii="Arial" w:hAnsi="Arial" w:cs="Arial" w:eastAsia="Arial"/>
                  <w:color w:val="000000"/>
                  <w:u w:val="single"/>
                  <w:sz w:val="20"/>
                </w:rPr>
                <w:t>Сравнение TMS</w:t>
              </w:r>
            </w:hyperlink>
          </w:p>
        </w:tc>
        <w:tc>
          <w:tcPr>
            <w:tcW w:type="dxa" w:w="7165"/>
            <w:vAlign w:val="center"/>
            <w:shd w:fill="FFFFFF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40 × 9 = 360 ответов; иной набор дополнительных кандидатов</w:t>
            </w:r>
          </w:p>
        </w:tc>
      </w:tr>
      <w:tr>
        <w:trPr>
          <w:cantSplit/>
        </w:trPr>
        <w:tc>
          <w:tcPr>
            <w:tcW w:type="dxa" w:w="2926"/>
            <w:vAlign w:val="center"/>
            <w:shd w:fill="F1F4F6"/>
          </w:tcPr>
          <w:p>
            <w:pPr>
              <w:keepNext w:val="0"/>
              <w:spacing w:after="20" w:before="20" w:line="252" w:lineRule="auto"/>
            </w:pPr>
            <w:hyperlink r:id="rId17">
              <w:r>
                <w:rPr>
                  <w:rFonts w:ascii="Arial" w:hAnsi="Arial" w:cs="Arial" w:eastAsia="Arial"/>
                  <w:color w:val="000000"/>
                  <w:u w:val="single"/>
                  <w:sz w:val="20"/>
                </w:rPr>
                <w:t>GAP текущей системы</w:t>
              </w:r>
            </w:hyperlink>
          </w:p>
        </w:tc>
        <w:tc>
          <w:tcPr>
            <w:tcW w:type="dxa" w:w="7165"/>
            <w:vAlign w:val="center"/>
            <w:shd w:fill="F1F4F6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Все 100 ID покрыты 43 группами анализа; 33 локальных доказательства</w:t>
            </w:r>
          </w:p>
        </w:tc>
      </w:tr>
      <w:tr>
        <w:trPr>
          <w:cantSplit/>
        </w:trPr>
        <w:tc>
          <w:tcPr>
            <w:tcW w:type="dxa" w:w="2926"/>
            <w:vAlign w:val="center"/>
            <w:shd w:fill="FFFFFF"/>
          </w:tcPr>
          <w:p>
            <w:pPr>
              <w:keepNext w:val="0"/>
              <w:spacing w:after="20" w:before="20" w:line="252" w:lineRule="auto"/>
            </w:pPr>
            <w:hyperlink r:id="rId18">
              <w:r>
                <w:rPr>
                  <w:rFonts w:ascii="Arial" w:hAnsi="Arial" w:cs="Arial" w:eastAsia="Arial"/>
                  <w:color w:val="000000"/>
                  <w:u w:val="single"/>
                  <w:sz w:val="20"/>
                </w:rPr>
                <w:t>Методика и приёмка</w:t>
              </w:r>
            </w:hyperlink>
          </w:p>
        </w:tc>
        <w:tc>
          <w:tcPr>
            <w:tcW w:type="dxa" w:w="7165"/>
            <w:vAlign w:val="center"/>
            <w:shd w:fill="FFFFFF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Веса, стоп критерии, баллы, 18 сквозных сценариев и профиль нагрузки</w:t>
            </w:r>
          </w:p>
        </w:tc>
      </w:tr>
      <w:tr>
        <w:trPr>
          <w:cantSplit/>
        </w:trPr>
        <w:tc>
          <w:tcPr>
            <w:tcW w:type="dxa" w:w="2926"/>
            <w:vAlign w:val="center"/>
            <w:shd w:fill="F1F4F6"/>
          </w:tcPr>
          <w:p>
            <w:pPr>
              <w:keepNext w:val="0"/>
              <w:spacing w:after="20" w:before="20" w:line="252" w:lineRule="auto"/>
            </w:pPr>
            <w:hyperlink r:id="rId19">
              <w:r>
                <w:rPr>
                  <w:rFonts w:ascii="Arial" w:hAnsi="Arial" w:cs="Arial" w:eastAsia="Arial"/>
                  <w:color w:val="000000"/>
                  <w:u w:val="single"/>
                  <w:sz w:val="20"/>
                </w:rPr>
                <w:t>Источники</w:t>
              </w:r>
            </w:hyperlink>
          </w:p>
        </w:tc>
        <w:tc>
          <w:tcPr>
            <w:tcW w:type="dxa" w:w="7165"/>
            <w:vAlign w:val="center"/>
            <w:shd w:fill="F1F4F6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31 официальный материал, retail практики и ограничения выводов</w:t>
            </w:r>
          </w:p>
        </w:tc>
      </w:tr>
    </w:tbl>
    <w:p>
      <w:pPr>
        <w:spacing w:after="40"/>
      </w:pPr>
    </w:p>
    <w:p>
      <w:pPr/>
      <w:r>
        <w:rPr>
          <w:rFonts w:ascii="Arial" w:hAnsi="Arial" w:cs="Arial" w:eastAsia="Arial"/>
          <w:b w:val="0"/>
          <w:sz w:val="22"/>
          <w:cs w:val="0"/>
        </w:rPr>
        <w:t xml:space="preserve">Все перечисленные документы и этот путеводитель имеют Word версии в подкаталоге docx. Формат Word — DOCX, не устаревший бинарный DOC. Пакет размещается рядом с предыдущими материалами в </w:t>
      </w:r>
      <w:hyperlink r:id="rId20">
        <w:r>
          <w:rPr>
            <w:rFonts w:ascii="Arial" w:hAnsi="Arial" w:cs="Arial" w:eastAsia="Arial"/>
            <w:color w:val="215E86"/>
            <w:u w:val="single"/>
          </w:rPr>
          <w:t>папке Google Drive</w:t>
        </w:r>
      </w:hyperlink>
      <w:r>
        <w:rPr>
          <w:rFonts w:ascii="Arial" w:hAnsi="Arial" w:cs="Arial" w:eastAsia="Arial"/>
          <w:b w:val="0"/>
          <w:sz w:val="22"/>
          <w:cs w:val="0"/>
        </w:rPr>
        <w:t>. Файлы имеют отдельный префикс RETAIL_STANDARD и не заменяют документы NIKORA. Фактические ссылки и проверки фиксируются в publication.md после загрузки.</w:t>
      </w:r>
    </w:p>
    <w:p>
      <w:pPr>
        <w:pStyle w:val="Heading1"/>
      </w:pPr>
      <w:r>
        <w:t>Что включено в общий стандарт</w:t>
      </w:r>
    </w:p>
    <w:p>
      <w:pPr/>
      <w:r>
        <w:rPr>
          <w:rFonts w:ascii="Arial" w:hAnsi="Arial" w:cs="Arial" w:eastAsia="Arial"/>
          <w:b w:val="0"/>
          <w:sz w:val="22"/>
          <w:cs w:val="0"/>
        </w:rPr>
        <w:t>Приёмка, размещение, запас, партии и свежесть, независимая масса, резерв, пересчёт, пополнение, способы отбора, упаковка для магазина, контроль, погрузка, возврат, отзыв, тара, ресурсы и рабочие места. Дополнительно — применимые транзитные операции, VAS, голос и автоматизация. Для TMS включены городской маршрут, смены, вместимость по участкам, холод, исполнение, приёмка магазина, возвраты, тарифы и расчёты.</w:t>
      </w:r>
    </w:p>
    <w:p>
      <w:pPr/>
      <w:r>
        <w:rPr>
          <w:rFonts w:ascii="Arial" w:hAnsi="Arial" w:cs="Arial" w:eastAsia="Arial"/>
          <w:b w:val="0"/>
          <w:sz w:val="22"/>
          <w:cs w:val="0"/>
        </w:rPr>
        <w:t>Прогноз продаж и закупки остаются в ERP или системе планирования. Маршрутизация не подменяет складской учёт. Постоянный ID ролла не подменяется SSCC груза. Два контрольных прохода, XML как единственный формат, роботизация и международные перевозки не объявлены универсально обязательными.</w:t>
      </w:r>
    </w:p>
    <w:p>
      <w:pPr>
        <w:pStyle w:val="Heading1"/>
      </w:pPr>
      <w:r>
        <w:t>Как использовать</w:t>
      </w:r>
    </w:p>
    <w:p>
      <w:pPr>
        <w:pStyle w:val="ListNumber"/>
      </w:pPr>
      <w:r>
        <w:rPr>
          <w:rFonts w:ascii="Arial" w:hAnsi="Arial" w:cs="Arial" w:eastAsia="Arial"/>
          <w:b w:val="0"/>
          <w:sz w:val="22"/>
          <w:cs w:val="0"/>
        </w:rPr>
        <w:t>Утвердить применимый профиль сети и численный профиль испытаний.</w:t>
      </w:r>
    </w:p>
    <w:p>
      <w:pPr>
        <w:pStyle w:val="ListNumber"/>
      </w:pPr>
      <w:r>
        <w:rPr>
          <w:rFonts w:ascii="Arial" w:hAnsi="Arial" w:cs="Arial" w:eastAsia="Arial"/>
          <w:b w:val="0"/>
          <w:sz w:val="22"/>
          <w:cs w:val="0"/>
        </w:rPr>
        <w:t>Передать одинаковые опросники кандидатам, запросить конкретные продукты, редакции и модули.</w:t>
      </w:r>
    </w:p>
    <w:p>
      <w:pPr>
        <w:pStyle w:val="ListNumber"/>
      </w:pPr>
      <w:r>
        <w:rPr>
          <w:rFonts w:ascii="Arial" w:hAnsi="Arial" w:cs="Arial" w:eastAsia="Arial"/>
          <w:b w:val="0"/>
          <w:sz w:val="22"/>
          <w:cs w:val="0"/>
        </w:rPr>
        <w:t>Закрыть неизвестные стоп критерии демонстрациями и контрактными ответами.</w:t>
      </w:r>
    </w:p>
    <w:p>
      <w:pPr>
        <w:pStyle w:val="ListNumber"/>
      </w:pPr>
      <w:r>
        <w:rPr>
          <w:rFonts w:ascii="Arial" w:hAnsi="Arial" w:cs="Arial" w:eastAsia="Arial"/>
          <w:b w:val="0"/>
          <w:sz w:val="22"/>
          <w:cs w:val="0"/>
        </w:rPr>
        <w:t>Проверить собственное решение на тех же сценариях и уточнить gaps в legacy процедурах.</w:t>
      </w:r>
    </w:p>
    <w:p>
      <w:pPr>
        <w:pStyle w:val="ListNumber"/>
      </w:pPr>
      <w:r>
        <w:rPr>
          <w:rFonts w:ascii="Arial" w:hAnsi="Arial" w:cs="Arial" w:eastAsia="Arial"/>
          <w:b w:val="0"/>
          <w:sz w:val="22"/>
          <w:cs w:val="0"/>
        </w:rPr>
        <w:t>Принимать решение развивать своё, покупать или использовать гибрид после сравнения полного результата и стоимости сопровождения.</w:t>
      </w:r>
    </w:p>
    <w:p>
      <w:pPr/>
      <w:r>
        <w:rPr>
          <w:rFonts w:ascii="Arial" w:hAnsi="Arial" w:cs="Arial" w:eastAsia="Arial"/>
          <w:b w:val="0"/>
          <w:sz w:val="22"/>
          <w:cs w:val="0"/>
        </w:rPr>
        <w:t>Публичное описание вендора не равно принятой реализации. В матрицах Д означает описанное семейство функции, Ч — смежный механизм или портфель, НД — недостаток сведений. Числовой победитель без испытаний не назначен.</w:t>
      </w:r>
    </w:p>
    <w:p>
      <w:pPr>
        <w:pStyle w:val="Heading1"/>
      </w:pPr>
      <w:r>
        <w:t>Границы результата</w:t>
      </w:r>
    </w:p>
    <w:p>
      <w:pPr/>
      <w:r>
        <w:rPr>
          <w:rFonts w:ascii="Arial" w:hAnsi="Arial" w:cs="Arial" w:eastAsia="Arial"/>
          <w:b w:val="0"/>
          <w:sz w:val="22"/>
          <w:cs w:val="0"/>
        </w:rPr>
        <w:t>Исследование не изменяет продуктовый код, Oracle, существующие планы или права Google Drive. Git commit и push не выполняются. Предыдущий NIKORA пакет остаётся отдельным профилем внедрения. Дата baseline и ограничения целевого обследования приведены в GAP документе.</w:t>
      </w:r>
    </w:p>
    <w:sectPr w:rsidR="00FC693F" w:rsidRPr="0006063C" w:rsidSect="00034616">
      <w:footerReference w:type="default" r:id="rId9"/>
      <w:pgSz w:w="11906" w:h="16838"/>
      <w:pgMar w:top="907" w:right="907" w:bottom="964" w:left="907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000000"/>
        <w:sz w:val="16"/>
      </w:rPr>
      <w:t xml:space="preserve">Retail WMS TMS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 w:cs="Arial" w:eastAsia="Arial"/>
      <w:b w:val="0"/>
      <w:color w:val="000000"/>
      <w:sz w:val="22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 w:line="259" w:lineRule="auto"/>
      <w:outlineLvl w:val="0"/>
    </w:pPr>
    <w:rPr>
      <w:rFonts w:asciiTheme="majorHAnsi" w:eastAsiaTheme="majorEastAsia" w:hAnsiTheme="majorHAnsi" w:cstheme="majorBidi" w:ascii="Arial" w:hAnsi="Arial" w:cs="Arial" w:eastAsia="Arial"/>
      <w:b/>
      <w:bCs/>
      <w:color w:val="000000"/>
      <w:sz w:val="30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 w:line="259" w:lineRule="auto"/>
      <w:outlineLvl w:val="1"/>
    </w:pPr>
    <w:rPr>
      <w:rFonts w:asciiTheme="majorHAnsi" w:eastAsiaTheme="majorEastAsia" w:hAnsiTheme="majorHAnsi" w:cstheme="majorBidi" w:ascii="Arial" w:hAnsi="Arial" w:cs="Arial" w:eastAsia="Arial"/>
      <w:b/>
      <w:bCs/>
      <w:color w:val="000000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 w:line="259" w:lineRule="auto"/>
      <w:outlineLvl w:val="2"/>
    </w:pPr>
    <w:rPr>
      <w:rFonts w:asciiTheme="majorHAnsi" w:eastAsiaTheme="majorEastAsia" w:hAnsiTheme="majorHAnsi" w:cstheme="majorBidi" w:ascii="Arial" w:hAnsi="Arial" w:cs="Arial" w:eastAsia="Arial"/>
      <w:b/>
      <w:bCs/>
      <w:color w:val="000000"/>
      <w:sz w:val="22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59" w:lineRule="auto" w:before="0"/>
      <w:contextualSpacing/>
    </w:pPr>
    <w:rPr>
      <w:rFonts w:asciiTheme="majorHAnsi" w:eastAsiaTheme="majorEastAsia" w:hAnsiTheme="majorHAnsi" w:cstheme="majorBidi" w:ascii="Arial" w:hAnsi="Arial" w:cs="Arial" w:eastAsia="Arial"/>
      <w:b/>
      <w:color w:val="000000"/>
      <w:spacing w:val="5"/>
      <w:kern w:val="28"/>
      <w:sz w:val="46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01_wms_standard.docx" TargetMode="External"/><Relationship Id="rId11" Type="http://schemas.openxmlformats.org/officeDocument/2006/relationships/hyperlink" Target="02_tms_standard.docx" TargetMode="External"/><Relationship Id="rId12" Type="http://schemas.openxmlformats.org/officeDocument/2006/relationships/hyperlink" Target="03_architecture_processes.docx" TargetMode="External"/><Relationship Id="rId13" Type="http://schemas.openxmlformats.org/officeDocument/2006/relationships/hyperlink" Target="04_questionnaire_wms.docx" TargetMode="External"/><Relationship Id="rId14" Type="http://schemas.openxmlformats.org/officeDocument/2006/relationships/hyperlink" Target="05_questionnaire_tms.docx" TargetMode="External"/><Relationship Id="rId15" Type="http://schemas.openxmlformats.org/officeDocument/2006/relationships/hyperlink" Target="06_vendor_comparison_wms.docx" TargetMode="External"/><Relationship Id="rId16" Type="http://schemas.openxmlformats.org/officeDocument/2006/relationships/hyperlink" Target="07_vendor_comparison_tms.docx" TargetMode="External"/><Relationship Id="rId17" Type="http://schemas.openxmlformats.org/officeDocument/2006/relationships/hyperlink" Target="08_current_system_gap.docx" TargetMode="External"/><Relationship Id="rId18" Type="http://schemas.openxmlformats.org/officeDocument/2006/relationships/hyperlink" Target="09_evaluation_acceptance.docx" TargetMode="External"/><Relationship Id="rId19" Type="http://schemas.openxmlformats.org/officeDocument/2006/relationships/hyperlink" Target="10_sources.docx" TargetMode="External"/><Relationship Id="rId20" Type="http://schemas.openxmlformats.org/officeDocument/2006/relationships/hyperlink" Target="https://drive.google.com/drive/folders/12DME2KqiQLmjUAZomTL590vVxjtmkEt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Стандарт WMS и TMS для сети магазинов у дома</dc:title>
  <dc:subject>Общий стандарт для сети магазинов у дома</dc:subject>
  <dc:creator>Исследование требований WMS и TMS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