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Архитектура и интеграция WMS табачных хабов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1.0. 17 сентября 2026 года.</w:t>
      </w:r>
    </w:p>
    <w:p>
      <w:pPr>
        <w:pStyle w:val="Heading1"/>
      </w:pPr>
      <w:r>
        <w:t>Архитектурное решение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Стандартное ядро WMS отвечает за запасы, резервы, задания и физическое исполнение. Помарочная модель дополняет эти факты, а не ведёт второй независимый количественный склад. Собственник включается в ключ запаса и всех связанных проводок. ERP и Track &amp; Trace подключаются через версионированные адаптеры с контролем повторов и сверкой.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Логическое разделение не требует отдельных микросервисов. Для текущего проекта разумная исходная схема — Oracle, транзакционные пакеты, API и outbox worker. Выделение сервиса или брокера оправдывается измеренной нагрузкой, независимым жизненным циклом или требованиями отказоустойчивости. Эта рекомендация не является подтверждением готовности существующей реализации к табаку.</w:t>
      </w:r>
    </w:p>
    <w:p>
      <w:pPr>
        <w:pStyle w:val="Heading1"/>
      </w:pPr>
      <w:r>
        <w:t>Владельцы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Данные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Авторитетная система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Обязанность WMS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SKU, упаковки, контрагенты, организационные связи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или согласованный MDM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Версии, внешние ключи и проверка полноты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Заказ, поставка, выкуп, юридическая проводка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Исполнение разрешённого основания и фактический ответ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Ячейка, физический запас, складское задание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хаба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Атомарный факт и сохранение владельца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Первичная сериализация пачек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Производственная система и разрешённый эмитент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Импорт кода и производственной агрегации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Текущая складская упаковка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с внешней регистрацией где требуется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Версии состава и цепочка изменений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Допуск и зарегистрированный внешний статус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Внешняя Track &amp; Trace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Сохранить ответ, время и применённое правило допуска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Рейс, маршрут, перевозчик, доставка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или транспортный ERP контур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Отгрузочный состав и передача перевозчику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Коммерческая стоимость и налоги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Не подменять бухгалтерский учёт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SAP Owner и Party Entitled to Dispose являются отдельными атрибутами запаса в документации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SAP Stock</w:t>
        </w:r>
      </w:hyperlink>
      <w:r>
        <w:rPr>
          <w:rFonts w:ascii="Arial" w:hAnsi="Arial" w:cs="Arial" w:eastAsia="Arial"/>
          <w:b w:val="0"/>
          <w:sz w:val="22"/>
          <w:cs w:val="0"/>
        </w:rPr>
        <w:t>. Их технические значения нельзя автоматически считать кодами юридического лица: проект должен утвердить отображение company code, plant, storage location, business partner и юридического владельца. В стандарте требование TH-24 относится именно к юридическому разрезу.</w:t>
      </w:r>
    </w:p>
    <w:p>
      <w:pPr>
        <w:pStyle w:val="Heading1"/>
      </w:pPr>
      <w:r>
        <w:t>Минимальная логическая модель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2926"/>
        <w:gridCol w:w="7165"/>
      </w:tblGrid>
      <w:tr>
        <w:trPr>
          <w:cantSplit/>
          <w:tblHeader/>
        </w:trPr>
        <w:tc>
          <w:tcPr>
            <w:tcW w:type="dxa" w:w="2926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Объект</w:t>
            </w:r>
          </w:p>
        </w:tc>
        <w:tc>
          <w:tcPr>
            <w:tcW w:type="dxa" w:w="716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Существенные данные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StockPosition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Warehouse, Location, OwnerLegalEntity, EntitledParty, SKU, Lot, QualityStatus, MarketProfile, HU, Quantity, UoM, Version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SerializedUnit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Namespace, Issuer, UID, исходный код, SKU, Lot, актуальная позиция и версия, ссылка на внешний статус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HandlingUnit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Внутренний ID, тип внешнего кода, уровень упаковки, статус закрытия, версия состава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ContainmentEdge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Parent, Child, ValidFrom, ValidTo, операция и версия; один активный физический родитель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WarehouseTask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Источник, назначение, точный резерв, тип операции, владелец строки, исполнитель и подтверждения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OwnerChange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основание, fromOwner, toOwner, версия, фиксированное множество UID, состояние и подтверждения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ShipmentGroup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Получатель и общая физическая работа, дочерние Shipment по юридическим основаниям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ShipmentLine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строка, владелец, SKU, партия, количество, фактические UID и версия упаковки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DomainOperation</w:t>
            </w:r>
          </w:p>
        </w:tc>
        <w:tc>
          <w:tcPr>
            <w:tcW w:type="dxa" w:w="716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ID, тип факта, время, исходные версии, актор, документ, компенсация и связь с проводками</w:t>
            </w:r>
          </w:p>
        </w:tc>
      </w:tr>
      <w:tr>
        <w:trPr>
          <w:cantSplit/>
        </w:trPr>
        <w:tc>
          <w:tcPr>
            <w:tcW w:type="dxa" w:w="2926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Inbox и Outbox</w:t>
            </w:r>
          </w:p>
        </w:tc>
        <w:tc>
          <w:tcPr>
            <w:tcW w:type="dxa" w:w="716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Ключ сообщения, payload hash, схема, состояние обработки, внешняя ссылка, попытки и ошибки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Объекты перечислены как обязательные факты, а не как приказ создать десять новых таблиц. Поставщик показывает, какими существующими сущностями они представлены и где обеспечиваются ограничения. Для подтверждённой складской пачки указатель на stock position определяет её владельца и место; дублированные поля допускаются только как контролируемые проекции.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Юридический резерв и физическая доступность проверяются одной операцией. Состояния «карантин», «контроль не завершён», «ожидается выкуп» и «не получен обязательный внешний допуск» не входят в доступное количество. Пересекающиеся блокировки не вычитаются дважды: доступность вычисляется по множеству допустимых единиц.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Нормативный код агрегата и складской HU могут иметь связь один к одному, но не обязаны иметь одинаковый формат. Внутренний номер паллеты не надо превращать в SSCC добавлением нулей. Структуру внешних идентификаторов и права их выдачи задаёт профиль.</w:t>
      </w:r>
    </w:p>
    <w:p>
      <w:pPr>
        <w:pStyle w:val="Heading1"/>
      </w:pPr>
      <w:r>
        <w:t>Процесс выкупа по SAP</w:t>
      </w:r>
    </w:p>
    <w:p>
      <w:pPr>
        <w:pStyle w:val="Heading2"/>
      </w:pPr>
      <w:r>
        <w:t>Рекомендуемый режим распоряжения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SAP присылает OwnerChangeRequested с документом, строкой, версиями, прежним и новым владельцем, количеством и правилами выбора. Если SAP не знает UID, WMS подбирает точный состав и возвращает его в подготовленном результате.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WMS проверяет существование и полномочия юрлиц, доступность, статус, отсутствие конфликтующего резерва. Сохраняет выбранный набор UID и его хеш, версию состава, блокировку операций и статус PREPARED.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SAP подтверждает основание для зафиксированного состава сообщением OwnerChangeAuthorized. Изменение состава требует новой версии, а не молчаливой замены пачек.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WMS одной транзакцией меняет владельца выбранных позиций, сохраняет журнал и исходящее OwnerChangeApplied. Общий физический остаток, UID, ячейка и активная вложенность не меняются.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SAP возвращает бизнес результат регистрации. Если профиль требует внешнее событие Track &amp; Trace, адаптер отправляет его в согласованной последовательности; если такого события нет, выдуманное «перемещение» не создаётся.</w:t>
      </w:r>
    </w:p>
    <w:p>
      <w:pPr>
        <w:pStyle w:val="ListNumber"/>
      </w:pPr>
      <w:r>
        <w:rPr>
          <w:rFonts w:ascii="Arial" w:hAnsi="Arial" w:cs="Arial" w:eastAsia="Arial"/>
          <w:b w:val="0"/>
          <w:sz w:val="22"/>
          <w:cs w:val="0"/>
        </w:rPr>
        <w:t>После необходимых подтверждений блокировка нового владельца снимается. При отказе после локального применения остаётся состояние APPLIED_PENDING_RECONCILIATION и ответственное исключение, а не автоматический откат задним числом.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Статусы операции: RECEIVED, VALIDATED, PREPARED, AUTHORIZED, APPLIED_PENDING_ACK, COMPLETED. Отдельные исходы: REJECTED до проведения, CANCELLED до проведения, APPLIED_PENDING_RECONCILIATION после проведения. Тайм-аут не означает отказ. Время фактического перехода права и бухгалтерского отражения определяется бизнес договором и SAP процессом; WMS хранит оба времени.</w:t>
      </w:r>
    </w:p>
    <w:p>
      <w:pPr>
        <w:pStyle w:val="Heading2"/>
      </w:pPr>
      <w:r>
        <w:t>Вариант уже проведённого документа SAP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Если сообщение SAP сообщает уже совершившийся переход собственности, шаги подготовки в SAP не имитируются. WMS принимает OwnerChangeCommitted, проверяет версии и применяет подтверждённый факт. Конфликт с уже начатой отгрузкой создаёт блокировку и расследование; терминал не может отвергнуть юридический факт как будто его не было. До запуска надо выбрать один протокол и определить порядок резервирования в SAP/WMS.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безопасного онлайн процесса предпочтителен предварительный контроль доступности до проведения SAP. Нельзя обещать общую ACID транзакцию между SAP, WMS и Track &amp; Trace. Согласование реализуется состояниями, идемпотентностью и явной компенсацией.</w:t>
      </w:r>
    </w:p>
    <w:p>
      <w:pPr>
        <w:pStyle w:val="Heading2"/>
      </w:pPr>
      <w:r>
        <w:t>Частичность и отмена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Режим «целиком» применяется по умолчанию. Для построчного режима SAP получает результат по каждой строке и точный проведённый состав. Отмена до применения снимает только собственные блокировки. После применения выполняется новый обратный документ с новой проверкой владельца и состояния; уже отгруженные марки нельзя вернуть предыдущему владельцу редактированием истории.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 выкупе части содержимого короба юридические строки могут стать смешанными при неизменном физическом составе. Базовая политика запрещает такой результат без отдельного разрешения: выбрать полные блоки и выполнить контролируемое физическое разделение либо отклонить операцию до подготовки. Разрешённый смешанный HU обязан сохранять владельца на уровне содержимого и корректные документы.</w:t>
      </w:r>
    </w:p>
    <w:p>
      <w:pPr>
        <w:pStyle w:val="Heading1"/>
      </w:pPr>
      <w:r>
        <w:t>Каталог интеграционных сообщений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Названия ниже — предлагаемый канонический контракт WMS, не утверждение о наличии одноимённых стандартных SAP API. SAP ECC или S/4HANA, редакция, middleware, IDoc/BAPI/OData и SAP event mapping определяются проектом. XML API через HTTPS допустим; XSD и семантика ACK обязательны. Наличие XML само по себе не решает надёжность обмена.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17"/>
        <w:gridCol w:w="3229"/>
        <w:gridCol w:w="4945"/>
      </w:tblGrid>
      <w:tr>
        <w:trPr>
          <w:cantSplit/>
          <w:tblHeader/>
        </w:trPr>
        <w:tc>
          <w:tcPr>
            <w:tcW w:type="dxa" w:w="1917"/>
            <w:vAlign w:val="center"/>
            <w:shd w:fill="24445C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Код</w:t>
            </w:r>
          </w:p>
        </w:tc>
        <w:tc>
          <w:tcPr>
            <w:tcW w:type="dxa" w:w="3229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Поток и семейство</w:t>
            </w:r>
          </w:p>
        </w:tc>
        <w:tc>
          <w:tcPr>
            <w:tcW w:type="dxa" w:w="4945"/>
            <w:vAlign w:val="center"/>
            <w:shd w:fill="24445C"/>
          </w:tcPr>
          <w:p>
            <w:pPr>
              <w:keepNext/>
              <w:spacing w:after="20" w:before="20" w:line="252" w:lineRule="auto"/>
            </w:pPr>
            <w:r>
              <w:rPr>
                <w:rFonts w:ascii="Arial" w:hAnsi="Arial" w:cs="Arial" w:eastAsia="Arial"/>
                <w:b/>
                <w:color w:val="FFFFFF"/>
                <w:sz w:val="20"/>
                <w:cs w:val="0"/>
              </w:rPr>
              <w:t>Минимальный бизнес состав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или MDM → WMS MasterDataUpsert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SKU, GTIN, упаковки, коэффициенты, партии, версии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→ WMS OrganizationAndParty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Юрлица, owner mapping, plant, склад, филиал, ShipTo, адрес, статусы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→ WMS InboundOrderUpsert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Документ и строка, версия, собственник, SKU, план, UoM, срок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Производство или T&amp;T → WMS AggregationManifest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Эмитент, UID, уровни, полный состав, полнота, версия и источник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SAP ReceiptConfirmed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Фактические строки, владелец, партии, HU, UID либо проверяемая ссылка, расхождения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SAP PutawayOrMovementConfirmed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Операция, откуда и куда, владелец, состав, количество; детализация по договору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→ WMS OutboundOrderUpsert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Клиент или филиал, строки по владельцам, даты, допустимая частичность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↔ WMS OrderChangeOrCancel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Версия документа, затронутые строки, результат с причиной невозможности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M09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↔ WMS OwnerChange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Requested, Prepared, Authorized или Committed, Applied, ACK, Cancel, Reverse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SAP PickingConfirmed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Собранный состав, владелец, недобор, версия упаковки и результат контроля отдельно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M11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SAP ShipmentConfirmed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Факт списания и передачи, строки по владельцам, HU, UID, транспорт и документы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M12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SAP TransferDispatched и TransferReceived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Межхабовое основание, владелец на каждом этапе, путь, отправлено, принято, расхождения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M13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SAP ↔ WMS ReturnAndAdjustment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Разрешение возврата или корректировки, фактические UID, качество, согласование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M14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↔ SAP StockReconciliation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Срез и watermark, собственник, SKU, партия, статус, количества, неподтверждённые операции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M15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↔ T&amp;T CodeAndAggregationQuery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UID, namespace, запрос состава и статуса, версия, ответ и время актуальности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M16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T&amp;T TraceEvent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Приёмка, отправка, агрегация, разагрегация и иные применимые события по профилю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M17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T&amp;T ↔ WMS TraceResultAndCorrection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Внешний ID, бизнес ACK/NACK, запрос статуса, допустимое исправление или аннулирование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M18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↔ TMS ShipmentReadinessAndHandover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Фактические HU, адрес, окно, масса, объём, рейс, пломба, передача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M19</w:t>
            </w:r>
          </w:p>
        </w:tc>
        <w:tc>
          <w:tcPr>
            <w:tcW w:type="dxa" w:w="3229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TMS или получатель → ERP и WMS DeliveryResult</w:t>
            </w:r>
          </w:p>
        </w:tc>
        <w:tc>
          <w:tcPr>
            <w:tcW w:type="dxa" w:w="4945"/>
            <w:vAlign w:val="center"/>
            <w:shd w:fill="FFFFFF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Приёмка клиентом или филиалом, подтверждение вручения, построчные расхождения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1F4F6"/>
          </w:tcPr>
          <w:p>
            <w:pPr>
              <w:keepNext w:val="0"/>
              <w:spacing w:after="20" w:before="20" w:line="252" w:lineRule="auto"/>
              <w:jc w:val="center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M20</w:t>
            </w:r>
          </w:p>
        </w:tc>
        <w:tc>
          <w:tcPr>
            <w:tcW w:type="dxa" w:w="3229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WMS → SAP StockStatusChanged</w:t>
            </w:r>
          </w:p>
        </w:tc>
        <w:tc>
          <w:tcPr>
            <w:tcW w:type="dxa" w:w="4945"/>
            <w:vAlign w:val="center"/>
            <w:shd w:fill="F1F4F6"/>
          </w:tcPr>
          <w:p>
            <w:pPr>
              <w:keepNext w:val="0"/>
              <w:spacing w:after="20" w:before="20" w:line="252" w:lineRule="auto"/>
            </w:pPr>
            <w:r>
              <w:rPr>
                <w:rFonts w:ascii="Arial" w:hAnsi="Arial" w:cs="Arial" w:eastAsia="Arial"/>
                <w:b w:val="0"/>
                <w:color w:val="000000"/>
                <w:sz w:val="20"/>
                <w:cs w:val="0"/>
              </w:rPr>
              <w:t>Карантин, разблокировка, отзыв, потеря или уничтожение с утверждённым основанием</w:t>
            </w:r>
          </w:p>
        </w:tc>
      </w:tr>
    </w:tbl>
    <w:p>
      <w:pPr>
        <w:spacing w:after="40"/>
      </w:pPr>
    </w:p>
    <w:p>
      <w:pPr/>
      <w:r>
        <w:rPr>
          <w:rFonts w:ascii="Arial" w:hAnsi="Arial" w:cs="Arial" w:eastAsia="Arial"/>
          <w:b w:val="0"/>
          <w:sz w:val="22"/>
          <w:cs w:val="0"/>
        </w:rPr>
        <w:t>M06 может быть агрегированным по договору: SAP не обязательно хранит каждое перемещение внутри ячейки. WMS обязана хранить его полностью. M10 не заменяет M11; M11 не означает, что клиент уже принял товар. M19 поступает из уполномоченного источника и не генерируется фиктивно в момент погрузки. Первичный приём внешнего ASN без заказа SAP не даёт права создать свободный остаток без установленного процесса разрешения.</w:t>
      </w:r>
    </w:p>
    <w:p>
      <w:pPr>
        <w:pStyle w:val="Heading1"/>
      </w:pPr>
      <w:r>
        <w:t>Конверт API и надёжность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Каждое изменяющее сообщение содержит MessageId, OperationId, SourceSystem, SchemaVersion, CorrelationId, DocumentId, DocumentVersion, OccurredAt с часовым смещением, WarehouseId и применимые OwnerId. Строка содержит устойчивый LineId, SKU, Lot, Quantity, UoM, ссылки на HU и точный состав UID либо неизменяемый манифест с количеством и хешем.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Inbox дедуплицируется по отправителю и MessageId. Повтор с тем же ID и другим payload hash отклоняется как конфликт. OperationId защищает от повторной бизнес операции даже при новом MessageId. Обработчик проверяет ожидаемую версию сущности; сообщения будущей версии ждут предшественников, устаревшие не затирают новое состояние.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HTTP 200/202 означает только техническую обработку согласно контракту. BusinessStatus отражает ACCEPTED, APPLIED, REJECTED или PENDING, внешний документ и причину. Успех запроса к адаптеру не равен принятию регулятором.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Движение, состав, резерв и outbox фиксируются одной локальной транзакцией. Worker отправляет вне неё, использует ограниченные повторы с backoff, отдельную очередь неразбираемых ошибок и контроль возраста. После тайм-аута неизвестный результат сначала запрашивается по внешнему ключу; слепое повторение неидемпотентной операции запрещено. Гарантируется повторяемая доставка с защитой бизнес эффекта, а не магическое exactly once во всех системах.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Большие списки UID передаются с согласованной пагинацией или пакетами, контрольной суммой, признаком полноты и атомарным завершением манифеста. Частичная загрузка не открывает агрегат для отгрузки. Восстановление очередей сохраняет последовательность зависимых операций упаковки и отгрузки.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XML обязательны XSD validation, запрет внешних сущностей и DTD, лимиты размера и вложенности. Для обоих форматов нужны аутентификация, TLS, контроль авторизации на владельца, лимиты запросов и безопасное хранение секретов. Подписи, сертификаты и доверенные часы используются там, где требует внешний протокол.</w:t>
      </w:r>
    </w:p>
    <w:p>
      <w:pPr>
        <w:pStyle w:val="Heading1"/>
      </w:pPr>
      <w:r>
        <w:t>Track and Trace как отдельный адаптер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EPCIS может быть канонической моделью событий или форматом обмена, если его поддерживает внешняя система. Это не универсальный законодательный протокол.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GS1 AggregationEvent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описывает физическую связь родителя и детей; смена юридического владельца не должна ошибочно кодироваться как физическая переупаковка.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Сохраняются время бизнес события, время записи, площадка, точка чтения, шаг процесса, состояние, документ, источник и получатель там, где применимо. Набор обязательных типов событий, правила исправления и сроки определяет выбранный провайдер и страна. Недопустимо считать произвольный EPCIS endpoint достаточной интеграцией с регуляторной системой.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Отгрузочный допуск привязан к версии состава. После перепаковки или изменения UID старый допуск не действует. Внешняя недоступность не стирает уже состоявшийся физический факт: система фиксирует его и исключение, но не разрешает следующий запрещённый этап.</w:t>
      </w:r>
    </w:p>
    <w:p>
      <w:pPr>
        <w:pStyle w:val="Heading1"/>
      </w:pPr>
      <w:r>
        <w:t>Связь с текущим проектом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В </w:t>
      </w:r>
      <w:hyperlink r:id="rId12">
        <w:r>
          <w:rPr>
            <w:rFonts w:ascii="Arial" w:hAnsi="Arial" w:cs="Arial" w:eastAsia="Arial"/>
            <w:color w:val="215E86"/>
            <w:u w:val="single"/>
          </w:rPr>
          <w:t>архитектуре WMS MES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описаны Oracle, API, маркировочные сущности и outbox. </w:t>
      </w:r>
      <w:hyperlink r:id="rId13">
        <w:r>
          <w:rPr>
            <w:rFonts w:ascii="Arial" w:hAnsi="Arial" w:cs="Arial" w:eastAsia="Arial"/>
            <w:color w:val="215E86"/>
            <w:u w:val="single"/>
          </w:rPr>
          <w:t>Правила аудита адаптеров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требуют журнал попыток, внешние ID и безопасный повтор. </w:t>
      </w:r>
      <w:hyperlink r:id="rId14">
        <w:r>
          <w:rPr>
            <w:rFonts w:ascii="Arial" w:hAnsi="Arial" w:cs="Arial" w:eastAsia="Arial"/>
            <w:color w:val="215E86"/>
            <w:u w:val="single"/>
          </w:rPr>
          <w:t>ТЗ пополнения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описывает волновой и min/max контур через складские задачи.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Эти элементы — кандидаты на переиспользование. Они не подтверждают наличие промышленного табачного адаптера, юридически корректного выкупа или полного owner dimension во всех legacy операциях. Для данного профиля нужна отдельная проверка TH-15–TH-30 и TH-41–TH-48 с трассировкой до API, Oracle и теста.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 текущих документах встречается широкая формулировка «волна — единственный управляющий документ». Для этого профиля волна управляет комплектацией и связанным пополнением. Приход, инвентаризация и выкуп сохраняют собственные основания; создавать фиктивную волну ради перевода собственности не требуется. Это явное ограничение применимости прежней формулировки.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Перед изменением схемы проверить, можно ли выразить необходимые факты существующими сущностями. Если нет, добавить минимально необходимые поля, уникальные ограничения и жизненный цикл операции. Продуктовые миграции требуют отдельного задания, документации схемы и испытания Oracle. Настоящий пакет таких изменений не выполняет.</w:t>
      </w:r>
    </w:p>
    <w:p>
      <w:pPr>
        <w:pStyle w:val="Heading1"/>
      </w:pPr>
      <w:r>
        <w:t>Эксплуатационная готовность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Сроки хранения истории, требования к неизменяемому архиву и размещению данных утверждаются профилем страны. Доступ к полным UID ограничивается; в общих журналах используются безопасные ссылки или маскирование. Историю, нужную для расследования и регулятора, нельзя удалять вместе с закрытым заказом.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Мониторинг включает время ответа ТСД, возраст обязательных ACK, число конфликтов UID и владельцев, размер outbox, ошибки сверки и долгие SQL. После приёмочных сценариев выполняется разбор медленных запросов с решением: индекс, ограничение окна, батчинг, переписывание либо обоснованный backlog. Это требование к будущей приёмке, а не утверждение о проведённом нагрузочном испытании.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WMS Tobacco Hubs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elp.sap.com/saphelp_ewm900/helpdata/en/0a/782e35aa9b499ab5e9dd30b1448280/content.htm?no_cache=true" TargetMode="External"/><Relationship Id="rId11" Type="http://schemas.openxmlformats.org/officeDocument/2006/relationships/hyperlink" Target="https://ref.gs1.org/epcis/AggregationEvent" TargetMode="External"/><Relationship Id="rId12" Type="http://schemas.openxmlformats.org/officeDocument/2006/relationships/hyperlink" Target="file:///C:/projects/TMS/wiki/architecture/wms_mes_traceability_edd.md" TargetMode="External"/><Relationship Id="rId13" Type="http://schemas.openxmlformats.org/officeDocument/2006/relationships/hyperlink" Target="file:///C:/projects/TMS/wiki/concepts/regulatory_adapter_audit.md" TargetMode="External"/><Relationship Id="rId14" Type="http://schemas.openxmlformats.org/officeDocument/2006/relationships/hyperlink" Target="file:///C:/projects/TMS/wiki/requirements/wave_case_pick_replenishment_tz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и интеграция WMS табачных хабов</dc:title>
  <dc:subject>Табачная продукция, марки, несколько собственников и SAP</dc:subject>
  <dc:creator>Требования к WMS региональных хабов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