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Требования к WMS региональных табачных хабов</w:t>
      </w:r>
    </w:p>
    <w:p>
      <w:pPr/>
      <w:r>
        <w:rPr>
          <w:rFonts w:ascii="Arial" w:hAnsi="Arial" w:cs="Arial" w:eastAsia="Arial"/>
          <w:b w:val="0"/>
          <w:sz w:val="22"/>
          <w:cs w:val="0"/>
        </w:rPr>
        <w:t>Версия 1.0. 17 сентября 2026 года.</w:t>
      </w:r>
    </w:p>
    <w:p>
      <w:pPr>
        <w:pStyle w:val="Heading1"/>
      </w:pPr>
      <w:r>
        <w:t>Назначение пакета</w:t>
      </w:r>
    </w:p>
    <w:p>
      <w:pPr/>
      <w:r>
        <w:rPr>
          <w:rFonts w:ascii="Arial" w:hAnsi="Arial" w:cs="Arial" w:eastAsia="Arial"/>
          <w:b w:val="0"/>
          <w:sz w:val="22"/>
          <w:cs w:val="0"/>
        </w:rPr>
        <w:t>Пакет предназначен заказчику, складским технологам, владельцу SAP, службе прослеживаемости и поставщикам WMS. Он задаёт стандарт готовой складской системы для региональных хабов производственной компании, хранящих и отгружающих сигареты клиентам и другим филиалам. Это самостоятельный отраслевой профиль, отделённый от требований продуктового ретейла и NIKORA.</w:t>
      </w:r>
    </w:p>
    <w:p>
      <w:pPr/>
      <w:r>
        <w:rPr>
          <w:rFonts w:ascii="Arial" w:hAnsi="Arial" w:cs="Arial" w:eastAsia="Arial"/>
          <w:b w:val="0"/>
          <w:sz w:val="22"/>
          <w:cs w:val="0"/>
        </w:rPr>
        <w:t>Основное решение: использовать стандартные приход, размещение, хранение, пополнение, отбор и отгрузку, дополнив их сквозным помарочным учётом и независимым учётом собственника. Один склад и одно физическое задание могут обслуживать несколько юрлиц; их остатки, резервы и документы не обезличиваются.</w:t>
      </w:r>
    </w:p>
    <w:p>
      <w:pPr>
        <w:pStyle w:val="Heading1"/>
      </w:pPr>
      <w:r>
        <w:t>Состав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0" w:type="dxa"/>
          <w:bottom w:w="90" w:type="dxa"/>
          <w:left w:w="90" w:type="dxa"/>
          <w:right w:w="90" w:type="dxa"/>
        </w:tblCellMar>
      </w:tblPr>
      <w:tblGrid>
        <w:gridCol w:w="2926"/>
        <w:gridCol w:w="7165"/>
      </w:tblGrid>
      <w:tr>
        <w:trPr>
          <w:cantSplit/>
          <w:tblHeader/>
        </w:trPr>
        <w:tc>
          <w:tcPr>
            <w:tcW w:type="dxa" w:w="2926"/>
            <w:vAlign w:val="center"/>
            <w:shd w:fill="24445C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rFonts w:ascii="Arial" w:hAnsi="Arial" w:cs="Arial" w:eastAsia="Arial"/>
                <w:b/>
                <w:color w:val="FFFFFF"/>
                <w:sz w:val="20"/>
                <w:cs w:val="0"/>
              </w:rPr>
              <w:t>Документ</w:t>
            </w:r>
          </w:p>
        </w:tc>
        <w:tc>
          <w:tcPr>
            <w:tcW w:type="dxa" w:w="7165"/>
            <w:vAlign w:val="center"/>
            <w:shd w:fill="24445C"/>
          </w:tcPr>
          <w:p>
            <w:pPr>
              <w:keepNext/>
              <w:spacing w:after="20" w:before="20" w:line="252" w:lineRule="auto"/>
            </w:pPr>
            <w:r>
              <w:rPr>
                <w:rFonts w:ascii="Arial" w:hAnsi="Arial" w:cs="Arial" w:eastAsia="Arial"/>
                <w:b/>
                <w:color w:val="FFFFFF"/>
                <w:sz w:val="20"/>
                <w:cs w:val="0"/>
              </w:rPr>
              <w:t>Для чего использовать</w:t>
            </w:r>
          </w:p>
        </w:tc>
      </w:tr>
      <w:tr>
        <w:trPr>
          <w:cantSplit/>
        </w:trPr>
        <w:tc>
          <w:tcPr>
            <w:tcW w:type="dxa" w:w="2926"/>
            <w:vAlign w:val="center"/>
            <w:shd w:fill="FFFFFF"/>
          </w:tcPr>
          <w:p>
            <w:pPr>
              <w:keepNext w:val="0"/>
              <w:spacing w:after="20" w:before="20" w:line="252" w:lineRule="auto"/>
            </w:pPr>
            <w:hyperlink r:id="rId10">
              <w:r>
                <w:rPr>
                  <w:rFonts w:ascii="Arial" w:hAnsi="Arial" w:cs="Arial" w:eastAsia="Arial"/>
                  <w:color w:val="000000"/>
                  <w:u w:val="single"/>
                  <w:sz w:val="20"/>
                </w:rPr>
                <w:t>Функциональные требования</w:t>
              </w:r>
            </w:hyperlink>
          </w:p>
        </w:tc>
        <w:tc>
          <w:tcPr>
            <w:tcW w:type="dxa" w:w="7165"/>
            <w:vAlign w:val="center"/>
            <w:shd w:fill="FFFFFF"/>
          </w:tcPr>
          <w:p>
            <w:pPr>
              <w:keepNext w:val="0"/>
              <w:spacing w:after="20" w:before="20" w:line="252" w:lineRule="auto"/>
            </w:pPr>
            <w:r>
              <w:rPr>
                <w:rFonts w:ascii="Arial" w:hAnsi="Arial" w:cs="Arial" w:eastAsia="Arial"/>
                <w:b w:val="0"/>
                <w:color w:val="000000"/>
                <w:sz w:val="20"/>
                <w:cs w:val="0"/>
              </w:rPr>
              <w:t>52 требования TH-01–TH-52, стандартные процедуры и правила маркированного товара</w:t>
            </w:r>
          </w:p>
        </w:tc>
      </w:tr>
      <w:tr>
        <w:trPr>
          <w:cantSplit/>
        </w:trPr>
        <w:tc>
          <w:tcPr>
            <w:tcW w:type="dxa" w:w="2926"/>
            <w:vAlign w:val="center"/>
            <w:shd w:fill="F1F4F6"/>
          </w:tcPr>
          <w:p>
            <w:pPr>
              <w:keepNext w:val="0"/>
              <w:spacing w:after="20" w:before="20" w:line="252" w:lineRule="auto"/>
            </w:pPr>
            <w:hyperlink r:id="rId11">
              <w:r>
                <w:rPr>
                  <w:rFonts w:ascii="Arial" w:hAnsi="Arial" w:cs="Arial" w:eastAsia="Arial"/>
                  <w:color w:val="000000"/>
                  <w:u w:val="single"/>
                  <w:sz w:val="20"/>
                </w:rPr>
                <w:t>Архитектура и интеграция</w:t>
              </w:r>
            </w:hyperlink>
          </w:p>
        </w:tc>
        <w:tc>
          <w:tcPr>
            <w:tcW w:type="dxa" w:w="7165"/>
            <w:vAlign w:val="center"/>
            <w:shd w:fill="F1F4F6"/>
          </w:tcPr>
          <w:p>
            <w:pPr>
              <w:keepNext w:val="0"/>
              <w:spacing w:after="20" w:before="20" w:line="252" w:lineRule="auto"/>
            </w:pPr>
            <w:r>
              <w:rPr>
                <w:rFonts w:ascii="Arial" w:hAnsi="Arial" w:cs="Arial" w:eastAsia="Arial"/>
                <w:b w:val="0"/>
                <w:color w:val="000000"/>
                <w:sz w:val="20"/>
                <w:cs w:val="0"/>
              </w:rPr>
              <w:t>Владельцы данных, модель запасов, SAP API, Track &amp; Trace, выкуп и отказы</w:t>
            </w:r>
          </w:p>
        </w:tc>
      </w:tr>
      <w:tr>
        <w:trPr>
          <w:cantSplit/>
        </w:trPr>
        <w:tc>
          <w:tcPr>
            <w:tcW w:type="dxa" w:w="2926"/>
            <w:vAlign w:val="center"/>
            <w:shd w:fill="FFFFFF"/>
          </w:tcPr>
          <w:p>
            <w:pPr>
              <w:keepNext w:val="0"/>
              <w:spacing w:after="20" w:before="20" w:line="252" w:lineRule="auto"/>
            </w:pPr>
            <w:hyperlink r:id="rId12">
              <w:r>
                <w:rPr>
                  <w:rFonts w:ascii="Arial" w:hAnsi="Arial" w:cs="Arial" w:eastAsia="Arial"/>
                  <w:color w:val="000000"/>
                  <w:u w:val="single"/>
                  <w:sz w:val="20"/>
                </w:rPr>
                <w:t>Опросник поставщика WMS</w:t>
              </w:r>
            </w:hyperlink>
          </w:p>
        </w:tc>
        <w:tc>
          <w:tcPr>
            <w:tcW w:type="dxa" w:w="7165"/>
            <w:vAlign w:val="center"/>
            <w:shd w:fill="FFFFFF"/>
          </w:tcPr>
          <w:p>
            <w:pPr>
              <w:keepNext w:val="0"/>
              <w:spacing w:after="20" w:before="20" w:line="252" w:lineRule="auto"/>
            </w:pPr>
            <w:r>
              <w:rPr>
                <w:rFonts w:ascii="Arial" w:hAnsi="Arial" w:cs="Arial" w:eastAsia="Arial"/>
                <w:b w:val="0"/>
                <w:color w:val="000000"/>
                <w:sz w:val="20"/>
                <w:cs w:val="0"/>
              </w:rPr>
              <w:t>52 вопроса с весом, сценарием показа и полями ответа</w:t>
            </w:r>
          </w:p>
        </w:tc>
      </w:tr>
      <w:tr>
        <w:trPr>
          <w:cantSplit/>
        </w:trPr>
        <w:tc>
          <w:tcPr>
            <w:tcW w:type="dxa" w:w="2926"/>
            <w:vAlign w:val="center"/>
            <w:shd w:fill="F1F4F6"/>
          </w:tcPr>
          <w:p>
            <w:pPr>
              <w:keepNext w:val="0"/>
              <w:spacing w:after="20" w:before="20" w:line="252" w:lineRule="auto"/>
            </w:pPr>
            <w:hyperlink r:id="rId13">
              <w:r>
                <w:rPr>
                  <w:rFonts w:ascii="Arial" w:hAnsi="Arial" w:cs="Arial" w:eastAsia="Arial"/>
                  <w:color w:val="000000"/>
                  <w:u w:val="single"/>
                  <w:sz w:val="20"/>
                </w:rPr>
                <w:t>Веса и приёмка</w:t>
              </w:r>
            </w:hyperlink>
          </w:p>
        </w:tc>
        <w:tc>
          <w:tcPr>
            <w:tcW w:type="dxa" w:w="7165"/>
            <w:vAlign w:val="center"/>
            <w:shd w:fill="F1F4F6"/>
          </w:tcPr>
          <w:p>
            <w:pPr>
              <w:keepNext w:val="0"/>
              <w:spacing w:after="20" w:before="20" w:line="252" w:lineRule="auto"/>
            </w:pPr>
            <w:r>
              <w:rPr>
                <w:rFonts w:ascii="Arial" w:hAnsi="Arial" w:cs="Arial" w:eastAsia="Arial"/>
                <w:b w:val="0"/>
                <w:color w:val="000000"/>
                <w:sz w:val="20"/>
                <w:cs w:val="0"/>
              </w:rPr>
              <w:t>Вес каждого вопроса, стоп-критерии, оценка и 18 сквозных испытаний</w:t>
            </w:r>
          </w:p>
        </w:tc>
      </w:tr>
      <w:tr>
        <w:trPr>
          <w:cantSplit/>
        </w:trPr>
        <w:tc>
          <w:tcPr>
            <w:tcW w:type="dxa" w:w="2926"/>
            <w:vAlign w:val="center"/>
            <w:shd w:fill="FFFFFF"/>
          </w:tcPr>
          <w:p>
            <w:pPr>
              <w:keepNext w:val="0"/>
              <w:spacing w:after="20" w:before="20" w:line="252" w:lineRule="auto"/>
            </w:pPr>
            <w:hyperlink r:id="rId14">
              <w:r>
                <w:rPr>
                  <w:rFonts w:ascii="Arial" w:hAnsi="Arial" w:cs="Arial" w:eastAsia="Arial"/>
                  <w:color w:val="000000"/>
                  <w:u w:val="single"/>
                  <w:sz w:val="20"/>
                </w:rPr>
                <w:t>Источники и профиль внедрения</w:t>
              </w:r>
            </w:hyperlink>
          </w:p>
        </w:tc>
        <w:tc>
          <w:tcPr>
            <w:tcW w:type="dxa" w:w="7165"/>
            <w:vAlign w:val="center"/>
            <w:shd w:fill="FFFFFF"/>
          </w:tcPr>
          <w:p>
            <w:pPr>
              <w:keepNext w:val="0"/>
              <w:spacing w:after="20" w:before="20" w:line="252" w:lineRule="auto"/>
            </w:pPr>
            <w:r>
              <w:rPr>
                <w:rFonts w:ascii="Arial" w:hAnsi="Arial" w:cs="Arial" w:eastAsia="Arial"/>
                <w:b w:val="0"/>
                <w:color w:val="000000"/>
                <w:sz w:val="20"/>
                <w:cs w:val="0"/>
              </w:rPr>
              <w:t>Первичные источники, применимость правил страны и решения до проектирования</w:t>
            </w:r>
          </w:p>
        </w:tc>
      </w:tr>
    </w:tbl>
    <w:p>
      <w:pPr>
        <w:spacing w:after="40"/>
      </w:pPr>
    </w:p>
    <w:p>
      <w:pPr/>
      <w:r>
        <w:rPr>
          <w:rFonts w:ascii="Arial" w:hAnsi="Arial" w:cs="Arial" w:eastAsia="Arial"/>
          <w:b w:val="0"/>
          <w:sz w:val="22"/>
          <w:cs w:val="0"/>
        </w:rPr>
        <w:t xml:space="preserve">Основные документы поставляются в MD и Word DOCX в подпапке docx. </w:t>
      </w:r>
      <w:hyperlink r:id="rId15">
        <w:r>
          <w:rPr>
            <w:rFonts w:ascii="Arial" w:hAnsi="Arial" w:cs="Arial" w:eastAsia="Arial"/>
            <w:color w:val="215E86"/>
            <w:u w:val="single"/>
          </w:rPr>
          <w:t>Папка Google Drive</w:t>
        </w:r>
      </w:hyperlink>
      <w:r>
        <w:rPr>
          <w:rFonts w:ascii="Arial" w:hAnsi="Arial" w:cs="Arial" w:eastAsia="Arial"/>
          <w:b w:val="0"/>
          <w:sz w:val="22"/>
          <w:cs w:val="0"/>
        </w:rPr>
        <w:t xml:space="preserve"> содержит копии. После публикации прямые ссылки на каждый файл фиксируются в </w:t>
      </w:r>
      <w:hyperlink r:id="rId16">
        <w:r>
          <w:rPr>
            <w:rFonts w:ascii="Arial" w:hAnsi="Arial" w:cs="Arial" w:eastAsia="Arial"/>
            <w:color w:val="215E86"/>
            <w:u w:val="single"/>
          </w:rPr>
          <w:t>реестре публикации</w:t>
        </w:r>
      </w:hyperlink>
      <w:r>
        <w:rPr>
          <w:rFonts w:ascii="Arial" w:hAnsi="Arial" w:cs="Arial" w:eastAsia="Arial"/>
          <w:b w:val="0"/>
          <w:sz w:val="22"/>
          <w:cs w:val="0"/>
        </w:rPr>
        <w:t>. Межфайловые относительные ссылки предназначены для локального комплекта; на Диске использовать реестр.</w:t>
      </w:r>
    </w:p>
    <w:p>
      <w:pPr>
        <w:pStyle w:val="Heading1"/>
      </w:pPr>
      <w:r>
        <w:t>Что обязательно для выбора</w:t>
      </w:r>
    </w:p>
    <w:p>
      <w:pPr/>
      <w:r>
        <w:rPr>
          <w:rFonts w:ascii="Arial" w:hAnsi="Arial" w:cs="Arial" w:eastAsia="Arial"/>
          <w:b w:val="0"/>
          <w:sz w:val="22"/>
          <w:cs w:val="0"/>
        </w:rPr>
        <w:t>Все 52 требования входят в базовый профиль. Метка «Стоп» означает критерий допуска: отсутствие подтверждённого решения по нему исключает промышленный запуск. Применение конкретных форматов маркировки, юридических документов и сроков передачи событий задаётся страновым профилем, а не угадывается по языку документа.</w:t>
      </w:r>
    </w:p>
    <w:p>
      <w:pPr/>
      <w:r>
        <w:rPr>
          <w:rFonts w:ascii="Arial" w:hAnsi="Arial" w:cs="Arial" w:eastAsia="Arial"/>
          <w:b w:val="0"/>
          <w:sz w:val="22"/>
          <w:cs w:val="0"/>
        </w:rPr>
        <w:t>За исходную единицу помарочного учёта принимается пачка с уникальным идентификатором. Блок и короб являются упаковочными уровнями с известным составом, паллета — грузоместом. Допускаются другие зарегистрированные уровни, если они заданы справочником и внешним контрактом. По умолчанию отбор выполняется коробами и целыми блоками; поштучный коммерческий отбор пачек включается только при отдельном разрешении.</w:t>
      </w:r>
    </w:p>
    <w:p>
      <w:pPr/>
      <w:r>
        <w:rPr>
          <w:rFonts w:ascii="Arial" w:hAnsi="Arial" w:cs="Arial" w:eastAsia="Arial"/>
          <w:b w:val="0"/>
          <w:sz w:val="22"/>
          <w:cs w:val="0"/>
        </w:rPr>
        <w:t>Выкуп меняет собственника конкретных марок по основанию SAP и сам по себе не меняет их физическое местоположение. Общая отгрузочная задача нескольких юрлиц распадается на юридические дочерние отгрузки. Недостающий запас одного собственника нельзя автоматически заменить запасом другого.</w:t>
      </w:r>
    </w:p>
    <w:p>
      <w:pPr>
        <w:pStyle w:val="Heading1"/>
      </w:pPr>
      <w:r>
        <w:t>Граница задания</w:t>
      </w:r>
    </w:p>
    <w:p>
      <w:pPr/>
      <w:r>
        <w:rPr>
          <w:rFonts w:ascii="Arial" w:hAnsi="Arial" w:cs="Arial" w:eastAsia="Arial"/>
          <w:b w:val="0"/>
          <w:sz w:val="22"/>
          <w:cs w:val="0"/>
        </w:rPr>
        <w:t>Производственные рецептуры и линии сериализации, выпуск государственных марок, бухгалтерская оценка, налоговые проводки, транспортная маршрутизация и биллинг не входят в ядро этого WMS профиля. WMS принимает производственный состав и разрешённые идентификаторы, исполняет складские операции и передаёт факты соответствующим системам.</w:t>
      </w:r>
    </w:p>
    <w:p>
      <w:pPr/>
      <w:r>
        <w:rPr>
          <w:rFonts w:ascii="Arial" w:hAnsi="Arial" w:cs="Arial" w:eastAsia="Arial"/>
          <w:b w:val="0"/>
          <w:sz w:val="22"/>
          <w:cs w:val="0"/>
        </w:rPr>
        <w:t>Пакет является спецификацией для выбора и реализации, а не актом испытаний конкретного продукта. Наличие функций в текущем репозитории или каталоге вендора не считается доказательством соответствия табачному профилю.</w:t>
      </w:r>
    </w:p>
    <w:p>
      <w:pPr>
        <w:pStyle w:val="Heading1"/>
      </w:pPr>
      <w:r>
        <w:t>Порядок применения</w:t>
      </w:r>
    </w:p>
    <w:p>
      <w:pPr>
        <w:pStyle w:val="ListNumber"/>
      </w:pPr>
      <w:r>
        <w:rPr>
          <w:rFonts w:ascii="Arial" w:hAnsi="Arial" w:cs="Arial" w:eastAsia="Arial"/>
          <w:b w:val="0"/>
          <w:sz w:val="22"/>
          <w:cs w:val="0"/>
        </w:rPr>
        <w:t>Заполнить профиль страны, SAP и внешней Track &amp; Trace, утвердить единицы и границы юридического учёта.</w:t>
      </w:r>
    </w:p>
    <w:p>
      <w:pPr>
        <w:pStyle w:val="ListNumber"/>
      </w:pPr>
      <w:r>
        <w:rPr>
          <w:rFonts w:ascii="Arial" w:hAnsi="Arial" w:cs="Arial" w:eastAsia="Arial"/>
          <w:b w:val="0"/>
          <w:sz w:val="22"/>
          <w:cs w:val="0"/>
        </w:rPr>
        <w:t>Отправить один и тот же опросник всем кандидатам, включая собственную WMS.</w:t>
      </w:r>
    </w:p>
    <w:p>
      <w:pPr>
        <w:pStyle w:val="ListNumber"/>
      </w:pPr>
      <w:r>
        <w:rPr>
          <w:rFonts w:ascii="Arial" w:hAnsi="Arial" w:cs="Arial" w:eastAsia="Arial"/>
          <w:b w:val="0"/>
          <w:sz w:val="22"/>
          <w:cs w:val="0"/>
        </w:rPr>
        <w:t>Получить ответы с версиями и стоимостью адаптации, провести одинаковые демонстрации.</w:t>
      </w:r>
    </w:p>
    <w:p>
      <w:pPr>
        <w:pStyle w:val="ListNumber"/>
      </w:pPr>
      <w:r>
        <w:rPr>
          <w:rFonts w:ascii="Arial" w:hAnsi="Arial" w:cs="Arial" w:eastAsia="Arial"/>
          <w:b w:val="0"/>
          <w:sz w:val="22"/>
          <w:cs w:val="0"/>
        </w:rPr>
        <w:t>Сначала проверить стоп-критерии, затем рассчитать взвешенное покрытие и стоимость владения.</w:t>
      </w:r>
    </w:p>
    <w:p>
      <w:pPr>
        <w:pStyle w:val="ListNumber"/>
      </w:pPr>
      <w:r>
        <w:rPr>
          <w:rFonts w:ascii="Arial" w:hAnsi="Arial" w:cs="Arial" w:eastAsia="Arial"/>
          <w:b w:val="0"/>
          <w:sz w:val="22"/>
          <w:cs w:val="0"/>
        </w:rPr>
        <w:t>Провести сквозную приёмку на тестовых SAP и Track &amp; Trace и только затем запускать пилот хаба.</w:t>
      </w:r>
    </w:p>
    <w:p>
      <w:pPr/>
      <w:r>
        <w:rPr>
          <w:rFonts w:ascii="Arial" w:hAnsi="Arial" w:cs="Arial" w:eastAsia="Arial"/>
          <w:b w:val="0"/>
          <w:sz w:val="22"/>
          <w:cs w:val="0"/>
        </w:rPr>
        <w:t xml:space="preserve">Предыдущий </w:t>
      </w:r>
      <w:hyperlink r:id="rId17">
        <w:r>
          <w:rPr>
            <w:rFonts w:ascii="Arial" w:hAnsi="Arial" w:cs="Arial" w:eastAsia="Arial"/>
            <w:color w:val="215E86"/>
            <w:u w:val="single"/>
          </w:rPr>
          <w:t>общий стандарт retail WMS и TMS</w:t>
        </w:r>
      </w:hyperlink>
      <w:r>
        <w:rPr>
          <w:rFonts w:ascii="Arial" w:hAnsi="Arial" w:cs="Arial" w:eastAsia="Arial"/>
          <w:b w:val="0"/>
          <w:sz w:val="22"/>
          <w:cs w:val="0"/>
        </w:rPr>
        <w:t xml:space="preserve"> остаётся самостоятельным документом. Эта ветка не изменяет его и не вводит изменения в продуктовый код или Oracle.</w:t>
      </w:r>
    </w:p>
    <w:sectPr w:rsidR="00FC693F" w:rsidRPr="0006063C" w:rsidSect="00034616">
      <w:footerReference w:type="default" r:id="rId9"/>
      <w:pgSz w:w="11906" w:h="16838"/>
      <w:pgMar w:top="907" w:right="907" w:bottom="964" w:left="907" w:header="39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000000"/>
        <w:sz w:val="16"/>
      </w:rPr>
      <w:t xml:space="preserve">WMS Tobacco Hubs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 w:cs="Arial" w:eastAsia="Arial"/>
      <w:b w:val="0"/>
      <w:color w:val="000000"/>
      <w:sz w:val="22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20" w:line="259" w:lineRule="auto"/>
      <w:outlineLvl w:val="0"/>
    </w:pPr>
    <w:rPr>
      <w:rFonts w:asciiTheme="majorHAnsi" w:eastAsiaTheme="majorEastAsia" w:hAnsiTheme="majorHAnsi" w:cstheme="majorBidi" w:ascii="Arial" w:hAnsi="Arial" w:cs="Arial" w:eastAsia="Arial"/>
      <w:b/>
      <w:bCs/>
      <w:color w:val="000000"/>
      <w:sz w:val="30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 w:line="259" w:lineRule="auto"/>
      <w:outlineLvl w:val="1"/>
    </w:pPr>
    <w:rPr>
      <w:rFonts w:asciiTheme="majorHAnsi" w:eastAsiaTheme="majorEastAsia" w:hAnsiTheme="majorHAnsi" w:cstheme="majorBidi" w:ascii="Arial" w:hAnsi="Arial" w:cs="Arial" w:eastAsia="Arial"/>
      <w:b/>
      <w:bCs/>
      <w:color w:val="000000"/>
      <w:sz w:val="24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 w:line="259" w:lineRule="auto"/>
      <w:outlineLvl w:val="2"/>
    </w:pPr>
    <w:rPr>
      <w:rFonts w:asciiTheme="majorHAnsi" w:eastAsiaTheme="majorEastAsia" w:hAnsiTheme="majorHAnsi" w:cstheme="majorBidi" w:ascii="Arial" w:hAnsi="Arial" w:cs="Arial" w:eastAsia="Arial"/>
      <w:b/>
      <w:bCs/>
      <w:color w:val="000000"/>
      <w:sz w:val="22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59" w:lineRule="auto" w:before="0"/>
      <w:contextualSpacing/>
    </w:pPr>
    <w:rPr>
      <w:rFonts w:asciiTheme="majorHAnsi" w:eastAsiaTheme="majorEastAsia" w:hAnsiTheme="majorHAnsi" w:cstheme="majorBidi" w:ascii="Arial" w:hAnsi="Arial" w:cs="Arial" w:eastAsia="Arial"/>
      <w:b/>
      <w:color w:val="000000"/>
      <w:spacing w:val="5"/>
      <w:kern w:val="28"/>
      <w:sz w:val="46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01_functional_requirements.docx" TargetMode="External"/><Relationship Id="rId11" Type="http://schemas.openxmlformats.org/officeDocument/2006/relationships/hyperlink" Target="02_architecture_integration.docx" TargetMode="External"/><Relationship Id="rId12" Type="http://schemas.openxmlformats.org/officeDocument/2006/relationships/hyperlink" Target="03_vendor_questionnaire.docx" TargetMode="External"/><Relationship Id="rId13" Type="http://schemas.openxmlformats.org/officeDocument/2006/relationships/hyperlink" Target="04_weights_acceptance.docx" TargetMode="External"/><Relationship Id="rId14" Type="http://schemas.openxmlformats.org/officeDocument/2006/relationships/hyperlink" Target="05_sources_decisions.docx" TargetMode="External"/><Relationship Id="rId15" Type="http://schemas.openxmlformats.org/officeDocument/2006/relationships/hyperlink" Target="https://drive.google.com/drive/folders/1TnH9OjsLttPRFltYlTs3ov19Sx7INLYn" TargetMode="External"/><Relationship Id="rId16" Type="http://schemas.openxmlformats.org/officeDocument/2006/relationships/hyperlink" Target="../publication.md" TargetMode="External"/><Relationship Id="rId17" Type="http://schemas.openxmlformats.org/officeDocument/2006/relationships/hyperlink" Target="file:///C:/projects/TMS/wiki/requirements/retail_convenience_standard/READM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Требования к WMS региональных табачных хабов</dc:title>
  <dc:subject>Табачная продукция, марки, несколько собственников и SAP</dc:subject>
  <dc:creator>Требования к WMS региональных хабов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