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Источники и профиль внедрения WMS табачных хабов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Версия 1.0. Проверка источников 17 сентября 2026 года.</w:t>
      </w:r>
    </w:p>
    <w:p>
      <w:pPr>
        <w:pStyle w:val="Heading1"/>
      </w:pPr>
      <w:r>
        <w:t>Применение источников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Требования выражают целевой результат заказчика. Документация стандартов поясняет идентификацию и события, документация SAP — термины запаса и типовые процессы, каталоги WMS — структуру обычной складской функциональности. Из этих источников нельзя вывести готовность любой конкретной лицензии к помарочному табачному учёту без испытания.</w:t>
      </w:r>
    </w:p>
    <w:p>
      <w:pPr>
        <w:pStyle w:val="Heading1"/>
      </w:pPr>
      <w:r>
        <w:t>Стандарты идентификации и событий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S01. </w:t>
      </w:r>
      <w:hyperlink r:id="rId10">
        <w:r>
          <w:rPr>
            <w:rFonts w:ascii="Arial" w:hAnsi="Arial" w:cs="Arial" w:eastAsia="Arial"/>
            <w:color w:val="215E86"/>
            <w:u w:val="single"/>
          </w:rPr>
          <w:t>GS1 Serial Shipping Container Code</w:t>
        </w:r>
      </w:hyperlink>
      <w:r>
        <w:rPr>
          <w:rFonts w:ascii="Arial" w:hAnsi="Arial" w:cs="Arial" w:eastAsia="Arial"/>
          <w:b w:val="0"/>
          <w:sz w:val="22"/>
          <w:cs w:val="0"/>
        </w:rPr>
        <w:t>. SSCC служит идентификации логистической единицы. Использован в TH-15, TH-18 и TH-20 для разделения UID пачки и кода грузоместа.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S02. </w:t>
      </w:r>
      <w:hyperlink r:id="rId11">
        <w:r>
          <w:rPr>
            <w:rFonts w:ascii="Arial" w:hAnsi="Arial" w:cs="Arial" w:eastAsia="Arial"/>
            <w:color w:val="215E86"/>
            <w:u w:val="single"/>
          </w:rPr>
          <w:t>GS1 EPCIS Standard</w:t>
        </w:r>
      </w:hyperlink>
      <w:r>
        <w:rPr>
          <w:rFonts w:ascii="Arial" w:hAnsi="Arial" w:cs="Arial" w:eastAsia="Arial"/>
          <w:b w:val="0"/>
          <w:sz w:val="22"/>
          <w:cs w:val="0"/>
        </w:rPr>
        <w:t>. Справочник стандарта обмена событиями прослеживаемости. Используется как возможная модель интеграции TH-22 и TH-42, если её поддерживает выбранный внешний контур. Версия стандарта и схем фиксируется в контракте.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S03. </w:t>
      </w:r>
      <w:hyperlink r:id="rId12">
        <w:r>
          <w:rPr>
            <w:rFonts w:ascii="Arial" w:hAnsi="Arial" w:cs="Arial" w:eastAsia="Arial"/>
            <w:color w:val="215E86"/>
            <w:u w:val="single"/>
          </w:rPr>
          <w:t>GS1 AggregationEvent</w:t>
        </w:r>
      </w:hyperlink>
      <w:r>
        <w:rPr>
          <w:rFonts w:ascii="Arial" w:hAnsi="Arial" w:cs="Arial" w:eastAsia="Arial"/>
          <w:b w:val="0"/>
          <w:sz w:val="22"/>
          <w:cs w:val="0"/>
        </w:rPr>
        <w:t>. Описывает физическое объединение родителя и дочерних объектов. Основание для корректного смысла упаковочных событий TH-18–TH-19; дополнительные инварианты WMS сформулированы как проектные требования.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S04. </w:t>
      </w:r>
      <w:hyperlink r:id="rId13">
        <w:r>
          <w:rPr>
            <w:rFonts w:ascii="Arial" w:hAnsi="Arial" w:cs="Arial" w:eastAsia="Arial"/>
            <w:color w:val="215E86"/>
            <w:u w:val="single"/>
          </w:rPr>
          <w:t>GS1 EPCIS and CBV Implementation Guideline</w:t>
        </w:r>
      </w:hyperlink>
      <w:r>
        <w:rPr>
          <w:rFonts w:ascii="Arial" w:hAnsi="Arial" w:cs="Arial" w:eastAsia="Arial"/>
          <w:b w:val="0"/>
          <w:sz w:val="22"/>
          <w:cs w:val="0"/>
        </w:rPr>
        <w:t>. При выводе состава отгружаемого агрегата важны известное упаковочное событие и отсутствие последующей разагрегации. Использован для требования доверенного состава TH-17. Скан внешнего кода сам по себе не доказывает полноту дерева.</w:t>
      </w:r>
    </w:p>
    <w:p>
      <w:pPr>
        <w:pStyle w:val="Heading1"/>
      </w:pPr>
      <w:r>
        <w:t>SAP и обычные WMS процессы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S05. </w:t>
      </w:r>
      <w:hyperlink r:id="rId14">
        <w:r>
          <w:rPr>
            <w:rFonts w:ascii="Arial" w:hAnsi="Arial" w:cs="Arial" w:eastAsia="Arial"/>
            <w:color w:val="215E86"/>
            <w:u w:val="single"/>
          </w:rPr>
          <w:t>SAP Stock attributes</w:t>
        </w:r>
      </w:hyperlink>
      <w:r>
        <w:rPr>
          <w:rFonts w:ascii="Arial" w:hAnsi="Arial" w:cs="Arial" w:eastAsia="Arial"/>
          <w:b w:val="0"/>
          <w:sz w:val="22"/>
          <w:cs w:val="0"/>
        </w:rPr>
        <w:t>. Технические атрибуты OWNER и ENTITLED разделены. Это документация EWM 9.0, используемая для устойчивого различия понятий, а не рекомендация внедрять эту старую версию.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S06. </w:t>
      </w:r>
      <w:hyperlink r:id="rId15">
        <w:r>
          <w:rPr>
            <w:rFonts w:ascii="Arial" w:hAnsi="Arial" w:cs="Arial" w:eastAsia="Arial"/>
            <w:color w:val="215E86"/>
            <w:u w:val="single"/>
          </w:rPr>
          <w:t>SAP Quant</w:t>
        </w:r>
      </w:hyperlink>
      <w:r>
        <w:rPr>
          <w:rFonts w:ascii="Arial" w:hAnsi="Arial" w:cs="Arial" w:eastAsia="Arial"/>
          <w:b w:val="0"/>
          <w:sz w:val="22"/>
          <w:cs w:val="0"/>
        </w:rPr>
        <w:t>. Описывает запас и его атрибуты. Использован как пример того, что собственник является характеристикой запаса; юридическое отображение в конкретной SAP модели утверждается отдельно.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S07. </w:t>
      </w:r>
      <w:hyperlink r:id="rId16">
        <w:r>
          <w:rPr>
            <w:rFonts w:ascii="Arial" w:hAnsi="Arial" w:cs="Arial" w:eastAsia="Arial"/>
            <w:color w:val="215E86"/>
            <w:u w:val="single"/>
          </w:rPr>
          <w:t>SAP Create Posting Changes</w:t>
        </w:r>
      </w:hyperlink>
      <w:r>
        <w:rPr>
          <w:rFonts w:ascii="Arial" w:hAnsi="Arial" w:cs="Arial" w:eastAsia="Arial"/>
          <w:b w:val="0"/>
          <w:sz w:val="22"/>
          <w:cs w:val="0"/>
        </w:rPr>
        <w:t>. Подтверждает класс операций изменения атрибутов запаса. Предложенный жизненный цикл выкупа в настоящем пакете является контрактом проекта, а не копией стандартного SAP API.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S08. </w:t>
      </w:r>
      <w:hyperlink r:id="rId17">
        <w:r>
          <w:rPr>
            <w:rFonts w:ascii="Arial" w:hAnsi="Arial" w:cs="Arial" w:eastAsia="Arial"/>
            <w:color w:val="215E86"/>
            <w:u w:val="single"/>
          </w:rPr>
          <w:t>SAP Replenishment Control</w:t>
        </w:r>
      </w:hyperlink>
      <w:r>
        <w:rPr>
          <w:rFonts w:ascii="Arial" w:hAnsi="Arial" w:cs="Arial" w:eastAsia="Arial"/>
          <w:b w:val="0"/>
          <w:sz w:val="22"/>
          <w:cs w:val="0"/>
        </w:rPr>
        <w:t>. Разделяет плановое min/max, пополнение по потребности заказа и автоматические триггеры. Использован для структуры TH-32–TH-33. Проект дополнительно требует общей защиты от дублей и проверки физической вместимости.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S09. </w:t>
      </w:r>
      <w:hyperlink r:id="rId18">
        <w:r>
          <w:rPr>
            <w:rFonts w:ascii="Arial" w:hAnsi="Arial" w:cs="Arial" w:eastAsia="Arial"/>
            <w:color w:val="215E86"/>
            <w:u w:val="single"/>
          </w:rPr>
          <w:t>SAP EWM capabilities</w:t>
        </w:r>
      </w:hyperlink>
      <w:r>
        <w:rPr>
          <w:rFonts w:ascii="Arial" w:hAnsi="Arial" w:cs="Arial" w:eastAsia="Arial"/>
          <w:b w:val="0"/>
          <w:sz w:val="22"/>
          <w:cs w:val="0"/>
        </w:rPr>
        <w:t>. Общий каталог складских функций; не подтверждение выбранной редакции или локализации.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S10. </w:t>
      </w:r>
      <w:hyperlink r:id="rId19">
        <w:r>
          <w:rPr>
            <w:rFonts w:ascii="Arial" w:hAnsi="Arial" w:cs="Arial" w:eastAsia="Arial"/>
            <w:color w:val="215E86"/>
            <w:u w:val="single"/>
          </w:rPr>
          <w:t>Infor WMS</w:t>
        </w:r>
      </w:hyperlink>
      <w:r>
        <w:rPr>
          <w:rFonts w:ascii="Arial" w:hAnsi="Arial" w:cs="Arial" w:eastAsia="Arial"/>
          <w:b w:val="0"/>
          <w:sz w:val="22"/>
          <w:cs w:val="0"/>
        </w:rPr>
        <w:t>. Общий каталог продукта для сопоставления складских процессов; готовый табачный адаптер не предполагается.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S11. </w:t>
      </w:r>
      <w:hyperlink r:id="rId20">
        <w:r>
          <w:rPr>
            <w:rFonts w:ascii="Arial" w:hAnsi="Arial" w:cs="Arial" w:eastAsia="Arial"/>
            <w:color w:val="215E86"/>
            <w:u w:val="single"/>
          </w:rPr>
          <w:t>Manhattan WMS</w:t>
        </w:r>
      </w:hyperlink>
      <w:r>
        <w:rPr>
          <w:rFonts w:ascii="Arial" w:hAnsi="Arial" w:cs="Arial" w:eastAsia="Arial"/>
          <w:b w:val="0"/>
          <w:sz w:val="22"/>
          <w:cs w:val="0"/>
        </w:rPr>
        <w:t>. Каталог WMS и платформы; состав коммерческого предложения и поддержка конкретного сценария проверяются опросником.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S12. </w:t>
      </w:r>
      <w:hyperlink r:id="rId21">
        <w:r>
          <w:rPr>
            <w:rFonts w:ascii="Arial" w:hAnsi="Arial" w:cs="Arial" w:eastAsia="Arial"/>
            <w:color w:val="215E86"/>
            <w:u w:val="single"/>
          </w:rPr>
          <w:t>AXELOT WMS функциональные возможности</w:t>
        </w:r>
      </w:hyperlink>
      <w:r>
        <w:rPr>
          <w:rFonts w:ascii="Arial" w:hAnsi="Arial" w:cs="Arial" w:eastAsia="Arial"/>
          <w:b w:val="0"/>
          <w:sz w:val="22"/>
          <w:cs w:val="0"/>
        </w:rPr>
        <w:t>. Процессный каталог складских операций; соответствие выкупу нескольких владельцев и конкретной Track &amp; Trace проверяется демонстрацией.</w:t>
      </w:r>
    </w:p>
    <w:p>
      <w:pPr>
        <w:pStyle w:val="Heading1"/>
      </w:pPr>
      <w:r>
        <w:t>Регуляторная применимость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S13. </w:t>
      </w:r>
      <w:hyperlink r:id="rId22">
        <w:r>
          <w:rPr>
            <w:rFonts w:ascii="Arial" w:hAnsi="Arial" w:cs="Arial" w:eastAsia="Arial"/>
            <w:color w:val="215E86"/>
            <w:u w:val="single"/>
          </w:rPr>
          <w:t>European Commission tobacco traceability and security features</w:t>
        </w:r>
      </w:hyperlink>
      <w:r>
        <w:rPr>
          <w:rFonts w:ascii="Arial" w:hAnsi="Arial" w:cs="Arial" w:eastAsia="Arial"/>
          <w:b w:val="0"/>
          <w:sz w:val="22"/>
          <w:cs w:val="0"/>
        </w:rPr>
        <w:t>. Официальный обзор режима ЕС показывает связь уникальной идентификации пачек и регистрации движения участниками цепи. Использован как пример страновой специфики, а не как универсальное правило для всех хабов.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Система ЕС, российская маркировка, корпоративная Track &amp; Trace производителя и другие национальные режимы не взаимозаменяемы. Нельзя автоматически приписывать любому хабу российские УПД, ЭДО, конкретные сроки сообщений, сертификаты или европейские коды событий. Выбор профиля обязателен до утверждения интеграционного ТЗ.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Для страны внедрения юридическая и регуляторная служба утверждает применимые акты и их редакции, вид продукции, допустимые единицы маркировки, правила агрегации, идентификаторы операторов и объектов, событийность, сроки и хранение данных. Это условие проектирования и приёмки, а не освобождение WMS от помарочного учёта.</w:t>
      </w:r>
    </w:p>
    <w:p>
      <w:pPr>
        <w:pStyle w:val="Heading1"/>
      </w:pPr>
      <w:r>
        <w:t>Локальная проектная основа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L01. </w:t>
      </w:r>
      <w:hyperlink r:id="rId23">
        <w:r>
          <w:rPr>
            <w:rFonts w:ascii="Arial" w:hAnsi="Arial" w:cs="Arial" w:eastAsia="Arial"/>
            <w:color w:val="215E86"/>
            <w:u w:val="single"/>
          </w:rPr>
          <w:t>Общий стандарт retail WMS и TMS</w:t>
        </w:r>
      </w:hyperlink>
      <w:r>
        <w:rPr>
          <w:rFonts w:ascii="Arial" w:hAnsi="Arial" w:cs="Arial" w:eastAsia="Arial"/>
          <w:b w:val="0"/>
          <w:sz w:val="22"/>
          <w:cs w:val="0"/>
        </w:rPr>
        <w:t>. Использована структура требований и оценок; продуктовый ассортимент, свежесть и магазинная логистика не перенесены как обязательные табачные функции.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L02. </w:t>
      </w:r>
      <w:hyperlink r:id="rId24">
        <w:r>
          <w:rPr>
            <w:rFonts w:ascii="Arial" w:hAnsi="Arial" w:cs="Arial" w:eastAsia="Arial"/>
            <w:color w:val="215E86"/>
            <w:u w:val="single"/>
          </w:rPr>
          <w:t>Архитектура WMS MES и прослеживаемости</w:t>
        </w:r>
      </w:hyperlink>
      <w:r>
        <w:rPr>
          <w:rFonts w:ascii="Arial" w:hAnsi="Arial" w:cs="Arial" w:eastAsia="Arial"/>
          <w:b w:val="0"/>
          <w:sz w:val="22"/>
          <w:cs w:val="0"/>
        </w:rPr>
        <w:t>. Кандидаты переиспользования: Oracle, API, outbox и маркировочные объекты. Документ относится к другому производственному профилю и не доказывает готовность табачной системы.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L03. </w:t>
      </w:r>
      <w:hyperlink r:id="rId25">
        <w:r>
          <w:rPr>
            <w:rFonts w:ascii="Arial" w:hAnsi="Arial" w:cs="Arial" w:eastAsia="Arial"/>
            <w:color w:val="215E86"/>
            <w:u w:val="single"/>
          </w:rPr>
          <w:t>Аудит внешних адаптеров</w:t>
        </w:r>
      </w:hyperlink>
      <w:r>
        <w:rPr>
          <w:rFonts w:ascii="Arial" w:hAnsi="Arial" w:cs="Arial" w:eastAsia="Arial"/>
          <w:b w:val="0"/>
          <w:sz w:val="22"/>
          <w:cs w:val="0"/>
        </w:rPr>
        <w:t>. Использованы правила журнала запросов, ответов, повторов и защиты секретов. Регуляторный адаптер для кормов не считается автоматически адаптером для сигарет.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L04. </w:t>
      </w:r>
      <w:hyperlink r:id="rId26">
        <w:r>
          <w:rPr>
            <w:rFonts w:ascii="Arial" w:hAnsi="Arial" w:cs="Arial" w:eastAsia="Arial"/>
            <w:color w:val="215E86"/>
            <w:u w:val="single"/>
          </w:rPr>
          <w:t>Пополнение по волнам и минимаксу</w:t>
        </w:r>
      </w:hyperlink>
      <w:r>
        <w:rPr>
          <w:rFonts w:ascii="Arial" w:hAnsi="Arial" w:cs="Arial" w:eastAsia="Arial"/>
          <w:b w:val="0"/>
          <w:sz w:val="22"/>
          <w:cs w:val="0"/>
        </w:rPr>
        <w:t>. Использован общий принцип исполнения через складские задания. Юридический выкуп не включается в pick wave только ради переиспользования механизма задач.</w:t>
      </w:r>
    </w:p>
    <w:p>
      <w:pPr>
        <w:pStyle w:val="Heading1"/>
      </w:pPr>
      <w:r>
        <w:t>Решения до технического проектирования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917"/>
        <w:gridCol w:w="3229"/>
        <w:gridCol w:w="4945"/>
      </w:tblGrid>
      <w:tr>
        <w:trPr>
          <w:cantSplit/>
          <w:tblHeader/>
        </w:trPr>
        <w:tc>
          <w:tcPr>
            <w:tcW w:type="dxa" w:w="1917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Решение</w:t>
            </w:r>
          </w:p>
        </w:tc>
        <w:tc>
          <w:tcPr>
            <w:tcW w:type="dxa" w:w="3229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Ответственный</w:t>
            </w:r>
          </w:p>
        </w:tc>
        <w:tc>
          <w:tcPr>
            <w:tcW w:type="dxa" w:w="4945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Что зафиксировать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Страна и товарный режим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Юридическая служба и compliance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Применимые правила, сроки, виды событий и доказательства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Внешняя Track &amp; Trace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Владелец прослеживаемости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Провайдер, API, sandbox, версии, лимиты, идентификаторы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SAP контур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Архитектор SAP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ECC или S/4HANA, middleware, типы документов, ACK и отмена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Модель собственности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Финансы и SAP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Company code, plant, owner, entitled party и момент перехода права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Протокол выкупа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Финансы и склад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Распоряжение до проведения либо уже проведённый документ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Упаковки и сканирование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Производитель и технолог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Пачка, блок, короб, коэффициенты, доверенный импорт состава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Смешанные HU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Compliance и склад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Разрешённые уровни смешивания; по умолчанию короб одного владельца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Частичная отгрузка и выкуп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Коммерция и SAP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Целиком или построчно, допуски и остаточная потребность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Начальные данные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Владельцы SAP и WMS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Срез, полнота UID, карантин неизвестных, дельта перехода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Нагрузка и непрерывность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ИТ и эксплуатация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Пики, история, SLO, RPO/RTO, отказ внешнего контура</w:t>
            </w:r>
          </w:p>
        </w:tc>
      </w:tr>
    </w:tbl>
    <w:p>
      <w:pPr>
        <w:spacing w:after="40"/>
      </w:pPr>
    </w:p>
    <w:p>
      <w:pPr/>
      <w:r>
        <w:rPr>
          <w:rFonts w:ascii="Arial" w:hAnsi="Arial" w:cs="Arial" w:eastAsia="Arial"/>
          <w:b w:val="0"/>
          <w:sz w:val="22"/>
          <w:cs w:val="0"/>
        </w:rPr>
        <w:t>По умолчанию до утверждения профиля: один владелец на пачку и блок; короб одного владельца; смешанная паллета только после явного разрешения и подтверждения внешнего формата; неизвестный состав в карантине; выкуп целиком; отсутствие обязательного допуска блокирует выпуск. Эти безопасные рабочие правила можно изменить только согласованным решением с тестом.</w:t>
      </w:r>
    </w:p>
    <w:sectPr w:rsidR="00FC693F" w:rsidRPr="0006063C" w:rsidSect="00034616">
      <w:footerReference w:type="default" r:id="rId9"/>
      <w:pgSz w:w="11906" w:h="16838"/>
      <w:pgMar w:top="907" w:right="907" w:bottom="964" w:left="90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6"/>
      </w:rPr>
      <w:t xml:space="preserve">WMS Tobacco Hubs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 w:cs="Arial" w:eastAsia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9" w:lineRule="auto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59" w:lineRule="auto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 w:line="259" w:lineRule="auto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 w:before="0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gs1.org/standards/id-keys/sscc" TargetMode="External"/><Relationship Id="rId11" Type="http://schemas.openxmlformats.org/officeDocument/2006/relationships/hyperlink" Target="https://ref.gs1.org/standards/epcis/" TargetMode="External"/><Relationship Id="rId12" Type="http://schemas.openxmlformats.org/officeDocument/2006/relationships/hyperlink" Target="https://ref.gs1.org/epcis/AggregationEvent" TargetMode="External"/><Relationship Id="rId13" Type="http://schemas.openxmlformats.org/officeDocument/2006/relationships/hyperlink" Target="https://ref.gs1.org/guidelines/epcis-cbv/" TargetMode="External"/><Relationship Id="rId14" Type="http://schemas.openxmlformats.org/officeDocument/2006/relationships/hyperlink" Target="https://help.sap.com/saphelp_ewm900/helpdata/en/0a/782e35aa9b499ab5e9dd30b1448280/content.htm?no_cache=true" TargetMode="External"/><Relationship Id="rId15" Type="http://schemas.openxmlformats.org/officeDocument/2006/relationships/hyperlink" Target="https://help.sap.com/docs/SAP_S4HANA_ON-PREMISE/9832125c23154a179bfa1784cdc9577a/4bc49585921f4c88e10000000a42189e.html" TargetMode="External"/><Relationship Id="rId16" Type="http://schemas.openxmlformats.org/officeDocument/2006/relationships/hyperlink" Target="https://help.sap.com/docs/SAP_S4HANA_CLOUD/87f9b54f9c4f4e75aff0061860a6589a/f694c6adf503425b83321930501759e5.html?locale=en-US" TargetMode="External"/><Relationship Id="rId17" Type="http://schemas.openxmlformats.org/officeDocument/2006/relationships/hyperlink" Target="https://help.sap.com/docs/SAP_S4HANA_CLOUD/87f9b54f9c4f4e75aff0061860a6589a/a8f8c1c6de10466cb6a335df94d16ae1.html" TargetMode="External"/><Relationship Id="rId18" Type="http://schemas.openxmlformats.org/officeDocument/2006/relationships/hyperlink" Target="https://www.sap.com/products/scm/extended-warehouse-management/features.html" TargetMode="External"/><Relationship Id="rId19" Type="http://schemas.openxmlformats.org/officeDocument/2006/relationships/hyperlink" Target="https://www.infor.com/en-gb/solutions/scm/warehouse-management-system" TargetMode="External"/><Relationship Id="rId20" Type="http://schemas.openxmlformats.org/officeDocument/2006/relationships/hyperlink" Target="https://www.manh.com/solutions/supply-chain-management-software/warehouse-management" TargetMode="External"/><Relationship Id="rId21" Type="http://schemas.openxmlformats.org/officeDocument/2006/relationships/hyperlink" Target="https://www.axelot.ru/product/axelot-wms-x5/functionality/" TargetMode="External"/><Relationship Id="rId22" Type="http://schemas.openxmlformats.org/officeDocument/2006/relationships/hyperlink" Target="https://health.ec.europa.eu/tobacco/product-regulation/systems-tobacco-traceability-and-security-features_en" TargetMode="External"/><Relationship Id="rId23" Type="http://schemas.openxmlformats.org/officeDocument/2006/relationships/hyperlink" Target="file:///C:/projects/TMS/wiki/requirements/retail_convenience_standard/README.md" TargetMode="External"/><Relationship Id="rId24" Type="http://schemas.openxmlformats.org/officeDocument/2006/relationships/hyperlink" Target="file:///C:/projects/TMS/wiki/architecture/wms_mes_traceability_edd.md" TargetMode="External"/><Relationship Id="rId25" Type="http://schemas.openxmlformats.org/officeDocument/2006/relationships/hyperlink" Target="file:///C:/projects/TMS/wiki/concepts/regulatory_adapter_audit.md" TargetMode="External"/><Relationship Id="rId26" Type="http://schemas.openxmlformats.org/officeDocument/2006/relationships/hyperlink" Target="file:///C:/projects/TMS/wiki/requirements/wave_case_pick_replenishment_tz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Источники и профиль внедрения WMS табачных хабов</dc:title>
  <dc:subject>Табачная продукция, марки, несколько собственников и SAP</dc:subject>
  <dc:creator>Требования к WMS региональных хабов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