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SECURITY OPERATIONS</w:t>
      </w:r>
    </w:p>
    <w:p>
      <w:pPr>
        <w:pStyle w:val="Title"/>
      </w:pPr>
      <w:r>
        <w:t>Security Monitoring</w:t>
        <w:br/>
        <w:t>Foundation</w:t>
      </w:r>
    </w:p>
    <w:p>
      <w:pPr>
        <w:pStyle w:val="Subtitle"/>
      </w:pPr>
      <w:r>
        <w:t>Deployment &amp; Operational Handover Report</w:t>
      </w:r>
    </w:p>
    <w:p>
      <w:r>
        <w:drawing>
          <wp:inline xmlns:a="http://schemas.openxmlformats.org/drawingml/2006/main" xmlns:pic="http://schemas.openxmlformats.org/drawingml/2006/picture">
            <wp:extent cx="1508760" cy="1508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trion-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TETRION</w:t>
      </w:r>
    </w:p>
    <w:p>
      <w:r>
        <w:t>Four Minds. Infinite Possibilities.</w:t>
      </w:r>
    </w:p>
    <w:p>
      <w:r>
        <w:t>Wazuh 4.14.7 / Windows &amp; Linux endpoint coverage</w:t>
      </w:r>
    </w:p>
    <w:p>
      <w:r>
        <w:t>Prepared for Tetrion</w:t>
        <w:br/>
        <w:t>Prepared by Roman Rzayev</w:t>
        <w:br/>
        <w:t>15 October 2026</w:t>
        <w:br/>
        <w:t>TET-SOC-001 | Version 1.0</w:t>
      </w:r>
    </w:p>
    <w:p>
      <w:r>
        <w:br w:type="page"/>
      </w:r>
    </w:p>
    <w:p>
      <w:pPr>
        <w:pStyle w:val="Subtitle"/>
      </w:pPr>
      <w:r>
        <w:t>01 / MANAGEMENT OVERVIEW</w:t>
      </w:r>
    </w:p>
    <w:p>
      <w:pPr>
        <w:pStyle w:val="Heading1"/>
      </w:pPr>
      <w:r>
        <w:t>Executive summary</w:t>
      </w:r>
    </w:p>
    <w:p>
      <w:r>
        <w:t>Tetrion's security monitoring foundation brings a Windows workstation and an Ubuntu web server into one Wazuh monitoring platform. The supplied implementation record shows a running Wazuh 4.14.7 single-node stack, successful dashboard access and two active endpoint agents.</w:t>
      </w:r>
    </w:p>
    <w:p>
      <w:r>
        <w:t>Windows Sysmon is installed with a community configuration, and Apache serves its default page on the Linux endpoint. Short bidirectional connectivity checks succeed between all three systems. These results establish the initial platform and endpoint-enrollment baseline.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16"/>
        <w:gridCol w:w="4916"/>
      </w:tblGrid>
      <w:tr>
        <w:tc>
          <w:tcPr>
            <w:tcW w:type="dxa" w:w="4916"/>
          </w:tcPr>
          <w:p>
            <w:r>
              <w:t>Capability</w:t>
            </w:r>
          </w:p>
        </w:tc>
        <w:tc>
          <w:tcPr>
            <w:tcW w:type="dxa" w:w="4916"/>
          </w:tcPr>
          <w:p>
            <w:r>
              <w:t>Recorded result</w:t>
            </w:r>
          </w:p>
        </w:tc>
      </w:tr>
      <w:tr>
        <w:tc>
          <w:tcPr>
            <w:tcW w:type="dxa" w:w="4916"/>
          </w:tcPr>
          <w:p>
            <w:r>
              <w:t>Central monitoring</w:t>
            </w:r>
          </w:p>
        </w:tc>
        <w:tc>
          <w:tcPr>
            <w:tcW w:type="dxa" w:w="4916"/>
          </w:tcPr>
          <w:p>
            <w:r>
              <w:t>Three Wazuh containers Up; dashboard loads.</w:t>
            </w:r>
          </w:p>
        </w:tc>
      </w:tr>
      <w:tr>
        <w:tc>
          <w:tcPr>
            <w:tcW w:type="dxa" w:w="4916"/>
          </w:tcPr>
          <w:p>
            <w:r>
              <w:t>Endpoint coverage</w:t>
            </w:r>
          </w:p>
        </w:tc>
        <w:tc>
          <w:tcPr>
            <w:tcW w:type="dxa" w:w="4916"/>
          </w:tcPr>
          <w:p>
            <w:r>
              <w:t>win-client and ubuntu-web Active on 4.14.7.</w:t>
            </w:r>
          </w:p>
        </w:tc>
      </w:tr>
      <w:tr>
        <w:tc>
          <w:tcPr>
            <w:tcW w:type="dxa" w:w="4916"/>
          </w:tcPr>
          <w:p>
            <w:r>
              <w:t>Windows telemetry readiness</w:t>
            </w:r>
          </w:p>
        </w:tc>
        <w:tc>
          <w:tcPr>
            <w:tcW w:type="dxa" w:w="4916"/>
          </w:tcPr>
          <w:p>
            <w:r>
              <w:t>Sysmon64 Running; event ingestion still requires proof.</w:t>
            </w:r>
          </w:p>
        </w:tc>
      </w:tr>
      <w:tr>
        <w:tc>
          <w:tcPr>
            <w:tcW w:type="dxa" w:w="4916"/>
          </w:tcPr>
          <w:p>
            <w:r>
              <w:t>Web-service readiness</w:t>
            </w:r>
          </w:p>
        </w:tc>
        <w:tc>
          <w:tcPr>
            <w:tcW w:type="dxa" w:w="4916"/>
          </w:tcPr>
          <w:p>
            <w:r>
              <w:t>Apache Running; default page opens.</w:t>
            </w:r>
          </w:p>
        </w:tc>
      </w:tr>
      <w:tr>
        <w:tc>
          <w:tcPr>
            <w:tcW w:type="dxa" w:w="4916"/>
          </w:tcPr>
          <w:p>
            <w:r>
              <w:t>Operational acceptance</w:t>
            </w:r>
          </w:p>
        </w:tc>
        <w:tc>
          <w:tcPr>
            <w:tcW w:type="dxa" w:w="4916"/>
          </w:tcPr>
          <w:p>
            <w:r>
              <w:t>Controlled event validation, recovery and hardening evidence outstanding.</w:t>
            </w:r>
          </w:p>
        </w:tc>
      </w:tr>
    </w:tbl>
    <w:p>
      <w:pPr>
        <w:pStyle w:val="Heading2"/>
      </w:pPr>
      <w:r>
        <w:t>Management decision</w:t>
      </w:r>
    </w:p>
    <w:p>
      <w:r>
        <w:t>Proceed with completion and acceptance testing. Do not treat the platform as production accepted until telemetry delivery, recovery, credentials and isolation controls are verified.</w:t>
      </w:r>
    </w:p>
    <w:p>
      <w:r>
        <w:t>This is an evidence-based deployment report prepared for Tetrion. It is not a live audit of the original machines; the review is limited to the supplied screenshots and implementation notes.</w:t>
      </w:r>
    </w:p>
    <w:p>
      <w:r>
        <w:br w:type="page"/>
      </w:r>
    </w:p>
    <w:p>
      <w:pPr>
        <w:pStyle w:val="Subtitle"/>
      </w:pPr>
      <w:r>
        <w:t>02 / REPORT NAVIGATION</w:t>
      </w:r>
    </w:p>
    <w:p>
      <w:pPr>
        <w:pStyle w:val="Heading1"/>
      </w:pPr>
      <w:r>
        <w:t>Contents &amp; document control</w:t>
      </w:r>
    </w:p>
    <w:p>
      <w:r>
        <w:t>Executive summary / Scope / Architecture / Deployment / Validation / Operations / Evidence register / Evidence annex</w:t>
      </w:r>
    </w:p>
    <w:p>
      <w:r>
        <w:t>Use the PDF for fixed pagination; Word pagination depends on the installed fonts.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16"/>
        <w:gridCol w:w="4916"/>
      </w:tblGrid>
      <w:tr>
        <w:tc>
          <w:tcPr>
            <w:tcW w:type="dxa" w:w="4916"/>
          </w:tcPr>
          <w:p>
            <w:r>
              <w:t>Field</w:t>
            </w:r>
          </w:p>
        </w:tc>
        <w:tc>
          <w:tcPr>
            <w:tcW w:type="dxa" w:w="4916"/>
          </w:tcPr>
          <w:p>
            <w:r>
              <w:t>Value</w:t>
            </w:r>
          </w:p>
        </w:tc>
      </w:tr>
      <w:tr>
        <w:tc>
          <w:tcPr>
            <w:tcW w:type="dxa" w:w="4916"/>
          </w:tcPr>
          <w:p>
            <w:r>
              <w:t>Document ID</w:t>
            </w:r>
          </w:p>
        </w:tc>
        <w:tc>
          <w:tcPr>
            <w:tcW w:type="dxa" w:w="4916"/>
          </w:tcPr>
          <w:p>
            <w:r>
              <w:t>TET-SOC-001</w:t>
            </w:r>
          </w:p>
        </w:tc>
      </w:tr>
      <w:tr>
        <w:tc>
          <w:tcPr>
            <w:tcW w:type="dxa" w:w="4916"/>
          </w:tcPr>
          <w:p>
            <w:r>
              <w:t>Version / issue date</w:t>
            </w:r>
          </w:p>
        </w:tc>
        <w:tc>
          <w:tcPr>
            <w:tcW w:type="dxa" w:w="4916"/>
          </w:tcPr>
          <w:p>
            <w:r>
              <w:t>1.0 / 15 October 2026</w:t>
            </w:r>
          </w:p>
        </w:tc>
      </w:tr>
      <w:tr>
        <w:tc>
          <w:tcPr>
            <w:tcW w:type="dxa" w:w="4916"/>
          </w:tcPr>
          <w:p>
            <w:r>
              <w:t>Prepared for / prepared by</w:t>
            </w:r>
          </w:p>
        </w:tc>
        <w:tc>
          <w:tcPr>
            <w:tcW w:type="dxa" w:w="4916"/>
          </w:tcPr>
          <w:p>
            <w:r>
              <w:t>Tetrion / Roman Rzayev</w:t>
            </w:r>
          </w:p>
        </w:tc>
      </w:tr>
      <w:tr>
        <w:tc>
          <w:tcPr>
            <w:tcW w:type="dxa" w:w="4916"/>
          </w:tcPr>
          <w:p>
            <w:r>
              <w:t>Subject</w:t>
            </w:r>
          </w:p>
        </w:tc>
        <w:tc>
          <w:tcPr>
            <w:tcW w:type="dxa" w:w="4916"/>
          </w:tcPr>
          <w:p>
            <w:r>
              <w:t>Security Monitoring Foundation - Deployment Report</w:t>
            </w:r>
          </w:p>
        </w:tc>
      </w:tr>
      <w:tr>
        <w:tc>
          <w:tcPr>
            <w:tcW w:type="dxa" w:w="4916"/>
          </w:tcPr>
          <w:p>
            <w:r>
              <w:t>Status</w:t>
            </w:r>
          </w:p>
        </w:tc>
        <w:tc>
          <w:tcPr>
            <w:tcW w:type="dxa" w:w="4916"/>
          </w:tcPr>
          <w:p>
            <w:r>
              <w:t>Implementation recorded; acceptance actions open</w:t>
            </w:r>
          </w:p>
        </w:tc>
      </w:tr>
      <w:tr>
        <w:tc>
          <w:tcPr>
            <w:tcW w:type="dxa" w:w="4916"/>
          </w:tcPr>
          <w:p>
            <w:r>
              <w:t>Handling</w:t>
            </w:r>
          </w:p>
        </w:tc>
        <w:tc>
          <w:tcPr>
            <w:tcW w:type="dxa" w:w="4916"/>
          </w:tcPr>
          <w:p>
            <w:r>
              <w:t>Internal technical record; repository copy contains selected implementation evidence.</w:t>
            </w:r>
          </w:p>
        </w:tc>
      </w:tr>
    </w:tbl>
    <w:p>
      <w:r>
        <w:t>Source roles: Week1_SOC_Lab (1).docx defines the acceptance baseline; faridexiyetimbrat.docx supplies implementation notes and 29 screenshots. ED-Lab04-Executive-Report.pdf is a visual layout reference only. Its company identity, findings, targets and assessment claims are not carried into this report.</w:t>
      </w:r>
    </w:p>
    <w:p>
      <w:r>
        <w:br w:type="page"/>
      </w:r>
    </w:p>
    <w:p>
      <w:pPr>
        <w:pStyle w:val="Subtitle"/>
      </w:pPr>
      <w:r>
        <w:t>03 / SCOPE &amp; INTERPRETATION</w:t>
      </w:r>
    </w:p>
    <w:p>
      <w:pPr>
        <w:pStyle w:val="Heading1"/>
      </w:pPr>
      <w:r>
        <w:t>Scope and assessment basis</w:t>
      </w:r>
    </w:p>
    <w:p>
      <w:r>
        <w:t>The scope is a three-system VMware environment: one Ubuntu monitoring server, one Ubuntu web endpoint and one Windows endpoint. The implementation uses a host-only network for internal communication and a second NAT interface on the monitoring server.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16"/>
        <w:gridCol w:w="4916"/>
      </w:tblGrid>
      <w:tr>
        <w:tc>
          <w:tcPr>
            <w:tcW w:type="dxa" w:w="4916"/>
          </w:tcPr>
          <w:p>
            <w:r>
              <w:t>Included</w:t>
            </w:r>
          </w:p>
        </w:tc>
        <w:tc>
          <w:tcPr>
            <w:tcW w:type="dxa" w:w="4916"/>
          </w:tcPr>
          <w:p>
            <w:r>
              <w:t>Outside the demonstrated scope</w:t>
            </w:r>
          </w:p>
        </w:tc>
      </w:tr>
      <w:tr>
        <w:tc>
          <w:tcPr>
            <w:tcW w:type="dxa" w:w="4916"/>
          </w:tcPr>
          <w:p>
            <w:r>
              <w:t>VM resources, addressing and ICMP reachability</w:t>
            </w:r>
          </w:p>
        </w:tc>
        <w:tc>
          <w:tcPr>
            <w:tcW w:type="dxa" w:w="4916"/>
          </w:tcPr>
          <w:p>
            <w:r>
              <w:t>Comprehensive routing, firewall and time-synchronization audit</w:t>
            </w:r>
          </w:p>
        </w:tc>
      </w:tr>
      <w:tr>
        <w:tc>
          <w:tcPr>
            <w:tcW w:type="dxa" w:w="4916"/>
          </w:tcPr>
          <w:p>
            <w:r>
              <w:t>Wazuh stack startup and dashboard access</w:t>
            </w:r>
          </w:p>
        </w:tc>
        <w:tc>
          <w:tcPr>
            <w:tcW w:type="dxa" w:w="4916"/>
          </w:tcPr>
          <w:p>
            <w:r>
              <w:t>Continuous uptime, load testing and production high availability</w:t>
            </w:r>
          </w:p>
        </w:tc>
      </w:tr>
      <w:tr>
        <w:tc>
          <w:tcPr>
            <w:tcW w:type="dxa" w:w="4916"/>
          </w:tcPr>
          <w:p>
            <w:r>
              <w:t>Agent enrollment and point-in-time Active state</w:t>
            </w:r>
          </w:p>
        </w:tc>
        <w:tc>
          <w:tcPr>
            <w:tcW w:type="dxa" w:w="4916"/>
          </w:tcPr>
          <w:p>
            <w:r>
              <w:t>End-to-end validation of all required security events</w:t>
            </w:r>
          </w:p>
        </w:tc>
      </w:tr>
      <w:tr>
        <w:tc>
          <w:tcPr>
            <w:tcW w:type="dxa" w:w="4916"/>
          </w:tcPr>
          <w:p>
            <w:r>
              <w:t>Sysmon and Apache installation evidence</w:t>
            </w:r>
          </w:p>
        </w:tc>
        <w:tc>
          <w:tcPr>
            <w:tcW w:type="dxa" w:w="4916"/>
          </w:tcPr>
          <w:p>
            <w:r>
              <w:t>Incident response automation and attack detection effectiveness</w:t>
            </w:r>
          </w:p>
        </w:tc>
      </w:tr>
    </w:tbl>
    <w:p>
      <w:r>
        <w:t>Evidence labels are intentionally precise. Recorded means a capture directly supports the stated observation. Partial means the capture supports only part of a requirement. Open means the supplied material does not establish completion. These labels are not results of new tests against the original systems.</w:t>
      </w:r>
    </w:p>
    <w:p>
      <w:pPr>
        <w:pStyle w:val="Heading2"/>
      </w:pPr>
      <w:r>
        <w:t>Implementation variance</w:t>
      </w:r>
    </w:p>
    <w:p>
      <w:r>
        <w:t>The endpoint resource allocations differ from the supplied baseline, and the Linux network captures show dynamically assigned addresses. These differences are documented rather than normalized into an assumed compliant configuration.</w:t>
      </w:r>
    </w:p>
    <w:p>
      <w:r>
        <w:t>The report date is the document issue date, not an assertion about the date of every source capture. No passwords, private keys, certificates or invented operational measurements are included.</w:t>
      </w:r>
    </w:p>
    <w:p>
      <w:r>
        <w:br w:type="page"/>
      </w:r>
    </w:p>
    <w:p>
      <w:pPr>
        <w:pStyle w:val="Subtitle"/>
      </w:pPr>
      <w:r>
        <w:t>04 / SYSTEM DESIGN</w:t>
      </w:r>
    </w:p>
    <w:p>
      <w:pPr>
        <w:pStyle w:val="Heading1"/>
      </w:pPr>
      <w:r>
        <w:t>Architecture &amp; asset inventory</w:t>
      </w:r>
    </w:p>
    <w:p>
      <w:r>
        <w:drawing>
          <wp:inline xmlns:a="http://schemas.openxmlformats.org/drawingml/2006/main" xmlns:pic="http://schemas.openxmlformats.org/drawingml/2006/picture">
            <wp:extent cx="6126480" cy="2597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977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c>
          <w:tcPr>
            <w:tcW w:type="dxa" w:w="3277"/>
          </w:tcPr>
          <w:p>
            <w:r>
              <w:t>Asset / IP</w:t>
            </w:r>
          </w:p>
        </w:tc>
        <w:tc>
          <w:tcPr>
            <w:tcW w:type="dxa" w:w="3277"/>
          </w:tcPr>
          <w:p>
            <w:r>
              <w:t>Recorded resources</w:t>
            </w:r>
          </w:p>
        </w:tc>
        <w:tc>
          <w:tcPr>
            <w:tcW w:type="dxa" w:w="3277"/>
          </w:tcPr>
          <w:p>
            <w:r>
              <w:t>Role</w:t>
            </w:r>
          </w:p>
        </w:tc>
      </w:tr>
      <w:tr>
        <w:tc>
          <w:tcPr>
            <w:tcW w:type="dxa" w:w="3277"/>
          </w:tcPr>
          <w:p>
            <w:r>
              <w:t>siem-host</w:t>
              <w:br/>
              <w:t>192.168.38.132</w:t>
            </w:r>
          </w:p>
        </w:tc>
        <w:tc>
          <w:tcPr>
            <w:tcW w:type="dxa" w:w="3277"/>
          </w:tcPr>
          <w:p>
            <w:r>
              <w:t>16 GB / 6 vCPU / 500 GB</w:t>
            </w:r>
          </w:p>
        </w:tc>
        <w:tc>
          <w:tcPr>
            <w:tcW w:type="dxa" w:w="3277"/>
          </w:tcPr>
          <w:p>
            <w:r>
              <w:t>Wazuh server; NAT also present</w:t>
            </w:r>
          </w:p>
        </w:tc>
      </w:tr>
      <w:tr>
        <w:tc>
          <w:tcPr>
            <w:tcW w:type="dxa" w:w="3277"/>
          </w:tcPr>
          <w:p>
            <w:r>
              <w:t>ubuntu-web</w:t>
              <w:br/>
              <w:t>192.168.38.131</w:t>
            </w:r>
          </w:p>
        </w:tc>
        <w:tc>
          <w:tcPr>
            <w:tcW w:type="dxa" w:w="3277"/>
          </w:tcPr>
          <w:p>
            <w:r>
              <w:t>4 GB / 2 vCPU / 500 GB</w:t>
            </w:r>
          </w:p>
        </w:tc>
        <w:tc>
          <w:tcPr>
            <w:tcW w:type="dxa" w:w="3277"/>
          </w:tcPr>
          <w:p>
            <w:r>
              <w:t>Ubuntu 22.04; Apache; agent</w:t>
            </w:r>
          </w:p>
        </w:tc>
      </w:tr>
      <w:tr>
        <w:tc>
          <w:tcPr>
            <w:tcW w:type="dxa" w:w="3277"/>
          </w:tcPr>
          <w:p>
            <w:r>
              <w:t>win-client</w:t>
              <w:br/>
              <w:t>192.168.38.133</w:t>
            </w:r>
          </w:p>
        </w:tc>
        <w:tc>
          <w:tcPr>
            <w:tcW w:type="dxa" w:w="3277"/>
          </w:tcPr>
          <w:p>
            <w:r>
              <w:t>4 GB / 4 vCPU / 60 GB</w:t>
            </w:r>
          </w:p>
        </w:tc>
        <w:tc>
          <w:tcPr>
            <w:tcW w:type="dxa" w:w="3277"/>
          </w:tcPr>
          <w:p>
            <w:r>
              <w:t>Windows 10 Enterprise Evaluation; agent; Sysmon</w:t>
            </w:r>
          </w:p>
        </w:tc>
      </w:tr>
    </w:tbl>
    <w:p>
      <w:r>
        <w:t>The screenshots associate the server with ens36 on 192.168.38.132/24 and ens33 on 192.168.121.156/24. The latter is the recorded NAT-side address and may change. VMnet1 DHCP is enabled; Linux interfaces carry the dynamic flag. Static assignment or reservation is therefore not established.</w:t>
      </w:r>
    </w:p>
    <w:p>
      <w:r>
        <w:t>Recorded RAM allocation totals 24 GB, compared with the 22 GB baseline. Ubuntu has 4 GB instead of 2 GB; Windows has 4 vCPUs instead of 2 and a 60 GB disk instead of 80 GB. Both Linux virtual disks show 500 GB. The images do not establish physical disk consumption or available host capacity.</w:t>
      </w:r>
    </w:p>
    <w:p>
      <w:r>
        <w:br w:type="page"/>
      </w:r>
    </w:p>
    <w:p>
      <w:pPr>
        <w:pStyle w:val="Subtitle"/>
      </w:pPr>
      <w:r>
        <w:t>05 / PLATFORM IMPLEMENTATION</w:t>
      </w:r>
    </w:p>
    <w:p>
      <w:pPr>
        <w:pStyle w:val="Heading1"/>
      </w:pPr>
      <w:r>
        <w:t>Deployment &amp; telemetry design</w:t>
      </w:r>
    </w:p>
    <w:p>
      <w:r>
        <w:t>The implementation clones the official wazuh-docker repository at v4.14.7, generates deployment certificates, and starts the single-node stack using Docker Compose. The visible services are wazuh.manager, wazuh.indexer and wazuh.dashboard; all three use 4.14.7 images and show Up status in the container listing.</w:t>
      </w:r>
    </w:p>
    <w:p>
      <w:r>
        <w:t>Filebeat runs as part of the manager image in this deployment. A typical event path is: endpoint source -&gt; Wazuh agent -&gt; manager decoding and rule evaluation -&gt; Filebeat alert forwarding -&gt; indexer storage -&gt; dashboard search. This is the expected design; the supplied captures do not trace one controlled event through every stage.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16"/>
        <w:gridCol w:w="4916"/>
      </w:tblGrid>
      <w:tr>
        <w:tc>
          <w:tcPr>
            <w:tcW w:type="dxa" w:w="4916"/>
          </w:tcPr>
          <w:p>
            <w:r>
              <w:t>Component</w:t>
            </w:r>
          </w:p>
        </w:tc>
        <w:tc>
          <w:tcPr>
            <w:tcW w:type="dxa" w:w="4916"/>
          </w:tcPr>
          <w:p>
            <w:r>
              <w:t>Operational responsibility</w:t>
            </w:r>
          </w:p>
        </w:tc>
      </w:tr>
      <w:tr>
        <w:tc>
          <w:tcPr>
            <w:tcW w:type="dxa" w:w="4916"/>
          </w:tcPr>
          <w:p>
            <w:r>
              <w:t>Agent</w:t>
            </w:r>
          </w:p>
        </w:tc>
        <w:tc>
          <w:tcPr>
            <w:tcW w:type="dxa" w:w="4916"/>
          </w:tcPr>
          <w:p>
            <w:r>
              <w:t>Collect configured endpoint logs and forward them to the manager.</w:t>
            </w:r>
          </w:p>
        </w:tc>
      </w:tr>
      <w:tr>
        <w:tc>
          <w:tcPr>
            <w:tcW w:type="dxa" w:w="4916"/>
          </w:tcPr>
          <w:p>
            <w:r>
              <w:t>Manager</w:t>
            </w:r>
          </w:p>
        </w:tc>
        <w:tc>
          <w:tcPr>
            <w:tcW w:type="dxa" w:w="4916"/>
          </w:tcPr>
          <w:p>
            <w:r>
              <w:t>Decode events, evaluate rules and produce alerts.</w:t>
            </w:r>
          </w:p>
        </w:tc>
      </w:tr>
      <w:tr>
        <w:tc>
          <w:tcPr>
            <w:tcW w:type="dxa" w:w="4916"/>
          </w:tcPr>
          <w:p>
            <w:r>
              <w:t>Filebeat / indexer</w:t>
            </w:r>
          </w:p>
        </w:tc>
        <w:tc>
          <w:tcPr>
            <w:tcW w:type="dxa" w:w="4916"/>
          </w:tcPr>
          <w:p>
            <w:r>
              <w:t>Forward alert records and index them for search.</w:t>
            </w:r>
          </w:p>
        </w:tc>
      </w:tr>
      <w:tr>
        <w:tc>
          <w:tcPr>
            <w:tcW w:type="dxa" w:w="4916"/>
          </w:tcPr>
          <w:p>
            <w:r>
              <w:t>Dashboard</w:t>
            </w:r>
          </w:p>
        </w:tc>
        <w:tc>
          <w:tcPr>
            <w:tcW w:type="dxa" w:w="4916"/>
          </w:tcPr>
          <w:p>
            <w:r>
              <w:t>Authenticate analysts and present indexed monitoring information.</w:t>
            </w:r>
          </w:p>
        </w:tc>
      </w:tr>
    </w:tbl>
    <w:p>
      <w:r>
        <w:t>Windows enrollment first shows a service-start error and then a successful WazuhSvc start. A later inventory verifies win-client Active. Linux systemctl output verifies wazuh-agent Running; the final inventory verifies ubuntu-web Active. Both agent versions match the 4.14.7 manager line.</w:t>
      </w:r>
    </w:p>
    <w:p>
      <w:pPr>
        <w:pStyle w:val="Heading2"/>
      </w:pPr>
      <w:r>
        <w:t>Visibility boundary</w:t>
      </w:r>
    </w:p>
    <w:p>
      <w:r>
        <w:t>Sysmon64 Running proves installation, not ingestion. A Wazuh event containing the Microsoft-Windows-Sysmon/Operational channel, endpoint name and Event ID is still needed to demonstrate the Windows telemetry pipeline.</w:t>
      </w:r>
    </w:p>
    <w:p>
      <w:r>
        <w:br w:type="page"/>
      </w:r>
    </w:p>
    <w:p>
      <w:pPr>
        <w:pStyle w:val="Subtitle"/>
      </w:pPr>
      <w:r>
        <w:t>06 / OPERATIONAL ASSURANCE</w:t>
      </w:r>
    </w:p>
    <w:p>
      <w:pPr>
        <w:pStyle w:val="Heading1"/>
      </w:pPr>
      <w:r>
        <w:t>Validation &amp; acceptance priorities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c>
          <w:tcPr>
            <w:tcW w:type="dxa" w:w="3277"/>
          </w:tcPr>
          <w:p>
            <w:r>
              <w:t>Control</w:t>
            </w:r>
          </w:p>
        </w:tc>
        <w:tc>
          <w:tcPr>
            <w:tcW w:type="dxa" w:w="3277"/>
          </w:tcPr>
          <w:p>
            <w:r>
              <w:t>What the evidence establishes</w:t>
            </w:r>
          </w:p>
        </w:tc>
        <w:tc>
          <w:tcPr>
            <w:tcW w:type="dxa" w:w="3277"/>
          </w:tcPr>
          <w:p>
            <w:r>
              <w:t>Next verification</w:t>
            </w:r>
          </w:p>
        </w:tc>
      </w:tr>
      <w:tr>
        <w:tc>
          <w:tcPr>
            <w:tcW w:type="dxa" w:w="3277"/>
          </w:tcPr>
          <w:p>
            <w:r>
              <w:t>Connectivity</w:t>
            </w:r>
          </w:p>
        </w:tc>
        <w:tc>
          <w:tcPr>
            <w:tcW w:type="dxa" w:w="3277"/>
          </w:tcPr>
          <w:p>
            <w:r>
              <w:t>All six directed peer checks receive replies.</w:t>
            </w:r>
          </w:p>
        </w:tc>
        <w:tc>
          <w:tcPr>
            <w:tcW w:type="dxa" w:w="3277"/>
          </w:tcPr>
          <w:p>
            <w:r>
              <w:t>Record current clocks, routes and final adapter state.</w:t>
            </w:r>
          </w:p>
        </w:tc>
      </w:tr>
      <w:tr>
        <w:tc>
          <w:tcPr>
            <w:tcW w:type="dxa" w:w="3277"/>
          </w:tcPr>
          <w:p>
            <w:r>
              <w:t>Web service</w:t>
            </w:r>
          </w:p>
        </w:tc>
        <w:tc>
          <w:tcPr>
            <w:tcW w:type="dxa" w:w="3277"/>
          </w:tcPr>
          <w:p>
            <w:r>
              <w:t>Apache active; default page displayed.</w:t>
            </w:r>
          </w:p>
        </w:tc>
        <w:tc>
          <w:tcPr>
            <w:tcW w:type="dxa" w:w="3277"/>
          </w:tcPr>
          <w:p>
            <w:r>
              <w:t>Record the browser host and a dated HTTP response.</w:t>
            </w:r>
          </w:p>
        </w:tc>
      </w:tr>
      <w:tr>
        <w:tc>
          <w:tcPr>
            <w:tcW w:type="dxa" w:w="3277"/>
          </w:tcPr>
          <w:p>
            <w:r>
              <w:t>Agent coverage</w:t>
            </w:r>
          </w:p>
        </w:tc>
        <w:tc>
          <w:tcPr>
            <w:tcW w:type="dxa" w:w="3277"/>
          </w:tcPr>
          <w:p>
            <w:r>
              <w:t>Two Active endpoints on v4.14.7.</w:t>
            </w:r>
          </w:p>
        </w:tc>
        <w:tc>
          <w:tcPr>
            <w:tcW w:type="dxa" w:w="3277"/>
          </w:tcPr>
          <w:p>
            <w:r>
              <w:t>Recheck after stack restart and server reboot.</w:t>
            </w:r>
          </w:p>
        </w:tc>
      </w:tr>
      <w:tr>
        <w:tc>
          <w:tcPr>
            <w:tcW w:type="dxa" w:w="3277"/>
          </w:tcPr>
          <w:p>
            <w:r>
              <w:t>Security events</w:t>
            </w:r>
          </w:p>
        </w:tc>
        <w:tc>
          <w:tcPr>
            <w:tcW w:type="dxa" w:w="3277"/>
          </w:tcPr>
          <w:p>
            <w:r>
              <w:t>Dashboard overview only; no controlled-event records.</w:t>
            </w:r>
          </w:p>
        </w:tc>
        <w:tc>
          <w:tcPr>
            <w:tcW w:type="dxa" w:w="3277"/>
          </w:tcPr>
          <w:p>
            <w:r>
              <w:t>Generate and capture the five event cases below.</w:t>
            </w:r>
          </w:p>
        </w:tc>
      </w:tr>
      <w:tr>
        <w:tc>
          <w:tcPr>
            <w:tcW w:type="dxa" w:w="3277"/>
          </w:tcPr>
          <w:p>
            <w:r>
              <w:t>Credential control</w:t>
            </w:r>
          </w:p>
        </w:tc>
        <w:tc>
          <w:tcPr>
            <w:tcW w:type="dxa" w:w="3277"/>
          </w:tcPr>
          <w:p>
            <w:r>
              <w:t>Login is shown; password rotation is not.</w:t>
            </w:r>
          </w:p>
        </w:tc>
        <w:tc>
          <w:tcPr>
            <w:tcW w:type="dxa" w:w="3277"/>
          </w:tcPr>
          <w:p>
            <w:r>
              <w:t>Use the Docker deployment password-change procedure.</w:t>
            </w:r>
          </w:p>
        </w:tc>
      </w:tr>
    </w:tbl>
    <w:p>
      <w:r>
        <w:t>Required event cases are a failed SSH login, a sudo command, Linux local-user creation, a Windows process launch observed through Sysmon, and a failed Windows logon. Each needs the agent name, timestamp, rule description, rule level and screenshot. No rule IDs or levels have been invented in this report.</w:t>
      </w:r>
    </w:p>
    <w:p>
      <w:pPr>
        <w:pStyle w:val="Heading2"/>
      </w:pPr>
      <w:r>
        <w:t>Priority before acceptance</w:t>
      </w:r>
    </w:p>
    <w:p>
      <w:r>
        <w:t>Confirm persistent addressing and endpoint isolation; rotate default credentials; demonstrate five event cases and Sysmon ingestion; complete restart/reboot persistence checks; record memory and snapshots.</w:t>
      </w:r>
    </w:p>
    <w:p>
      <w:r>
        <w:t>A short ping test proves sampled IP reachability. An Up container status proves a process was running at capture time. Neither alone establishes end-to-end security monitoring, sustained service health or recoverability.</w:t>
      </w:r>
    </w:p>
    <w:p>
      <w:r>
        <w:br w:type="page"/>
      </w:r>
    </w:p>
    <w:p>
      <w:pPr>
        <w:pStyle w:val="Subtitle"/>
      </w:pPr>
      <w:r>
        <w:t>07 / OPERATIONAL HANDOVER</w:t>
      </w:r>
    </w:p>
    <w:p>
      <w:pPr>
        <w:pStyle w:val="Heading1"/>
      </w:pPr>
      <w:r>
        <w:t>Startup, shutdown &amp; recovery</w:t>
      </w:r>
    </w:p>
    <w:p>
      <w:r>
        <w:t>The following is the operating procedure for the recorded architecture. It is derived from the visible deployment path and normal Compose behavior; it has not been executed against the original VMs during this document review.</w:t>
      </w:r>
    </w:p>
    <w:p>
      <w:pPr>
        <w:pStyle w:val="ListNumber"/>
      </w:pPr>
      <w:r>
        <w:t>Start siem-host first. Confirm the internal interface is on 192.168.38.132/24 and that vm.max_map_count meets the Wazuh indexer prerequisite (at least 262144).</w:t>
      </w:r>
    </w:p>
    <w:p>
      <w:pPr>
        <w:pStyle w:val="ListNumber"/>
      </w:pPr>
      <w:r>
        <w:t>In the existing single-node deployment directory (recorded as /root/wazuh-docker/single-node), run docker compose up -d, then docker compose ps and inspect service logs if startup fails. Keep deployment credentials local.</w:t>
      </w:r>
    </w:p>
    <w:p>
      <w:pPr>
        <w:pStyle w:val="ListNumber"/>
      </w:pPr>
      <w:r>
        <w:t>Open the configured dashboard URL over HTTPS from the operator workstation. Verify authentication and index availability. Assess the deployment certificate warning using its actual issuer and subject; do not disable TLS verification as a routine workaround.</w:t>
      </w:r>
    </w:p>
    <w:p>
      <w:pPr>
        <w:pStyle w:val="ListNumber"/>
      </w:pPr>
      <w:r>
        <w:t>Start ubuntu-web and win-client. Verify Apache, Wazuh agent services and Sysmon64. Confirm both agents become Active and generate one authorized test event that appears in the dashboard.</w:t>
      </w:r>
    </w:p>
    <w:p>
      <w:pPr>
        <w:pStyle w:val="ListNumber"/>
      </w:pPr>
      <w:r>
        <w:t>For shutdown, stop endpoint workloads and shut down the endpoints first. On siem-host use docker compose stop before shutting down the VM. Do not use docker compose down -v or delete persistent volumes.</w:t>
      </w:r>
    </w:p>
    <w:p>
      <w:pPr>
        <w:pStyle w:val="ListNumber"/>
      </w:pPr>
      <w:r>
        <w:t>For recovery acceptance, record an agent inventory and a uniquely identifiable test alert, restart the stack, then reboot siem-host. Confirm the same agents and pre-existing alert remain searchable after each operation.</w:t>
      </w:r>
    </w:p>
    <w:p>
      <w:r>
        <w:t>Record docker stats --no-stream at idle, the exact image versions, snapshot names and Windows evaluation expiry. Stop/start, reboot persistence and memory measurements remain unverified until their outputs are retained.</w:t>
      </w:r>
    </w:p>
    <w:p>
      <w:r>
        <w:br w:type="page"/>
      </w:r>
    </w:p>
    <w:p>
      <w:pPr>
        <w:pStyle w:val="Subtitle"/>
      </w:pPr>
      <w:r>
        <w:t>08 / EVIDENCE-LED HANDOVER</w:t>
      </w:r>
    </w:p>
    <w:p>
      <w:pPr>
        <w:pStyle w:val="Heading1"/>
      </w:pPr>
      <w:r>
        <w:t>Evidence register &amp; next actions</w:t>
      </w:r>
    </w:p>
    <w:p>
      <w:r>
        <w:t>The following annex retains all 29 embedded screenshots in source order, with one observation per figure. Every screenshot sits in a consistent 493 x 205 pt frame, is fitted proportionally without cropping, and retains its original embedded pixel data. Smaller captures cannot recover detail absent from the original.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16"/>
        <w:gridCol w:w="4916"/>
      </w:tblGrid>
      <w:tr>
        <w:tc>
          <w:tcPr>
            <w:tcW w:type="dxa" w:w="4916"/>
          </w:tcPr>
          <w:p>
            <w:r>
              <w:t>Evidence range</w:t>
            </w:r>
          </w:p>
        </w:tc>
        <w:tc>
          <w:tcPr>
            <w:tcW w:type="dxa" w:w="4916"/>
          </w:tcPr>
          <w:p>
            <w:r>
              <w:t>Coverage</w:t>
            </w:r>
          </w:p>
        </w:tc>
      </w:tr>
      <w:tr>
        <w:tc>
          <w:tcPr>
            <w:tcW w:type="dxa" w:w="4916"/>
          </w:tcPr>
          <w:p>
            <w:r>
              <w:t>E01-E07</w:t>
            </w:r>
          </w:p>
        </w:tc>
        <w:tc>
          <w:tcPr>
            <w:tcW w:type="dxa" w:w="4916"/>
          </w:tcPr>
          <w:p>
            <w:r>
              <w:t>VMware resources, host-only network and interface addresses</w:t>
            </w:r>
          </w:p>
        </w:tc>
      </w:tr>
      <w:tr>
        <w:tc>
          <w:tcPr>
            <w:tcW w:type="dxa" w:w="4916"/>
          </w:tcPr>
          <w:p>
            <w:r>
              <w:t>E08-E10</w:t>
            </w:r>
          </w:p>
        </w:tc>
        <w:tc>
          <w:tcPr>
            <w:tcW w:type="dxa" w:w="4916"/>
          </w:tcPr>
          <w:p>
            <w:r>
              <w:t>Peer reachability in all three directions</w:t>
            </w:r>
          </w:p>
        </w:tc>
      </w:tr>
      <w:tr>
        <w:tc>
          <w:tcPr>
            <w:tcW w:type="dxa" w:w="4916"/>
          </w:tcPr>
          <w:p>
            <w:r>
              <w:t>E11-E14</w:t>
            </w:r>
          </w:p>
        </w:tc>
        <w:tc>
          <w:tcPr>
            <w:tcW w:type="dxa" w:w="4916"/>
          </w:tcPr>
          <w:p>
            <w:r>
              <w:t>Sysmon installation and Apache service</w:t>
            </w:r>
          </w:p>
        </w:tc>
      </w:tr>
      <w:tr>
        <w:tc>
          <w:tcPr>
            <w:tcW w:type="dxa" w:w="4916"/>
          </w:tcPr>
          <w:p>
            <w:r>
              <w:t>E15-E20</w:t>
            </w:r>
          </w:p>
        </w:tc>
        <w:tc>
          <w:tcPr>
            <w:tcW w:type="dxa" w:w="4916"/>
          </w:tcPr>
          <w:p>
            <w:r>
              <w:t>Wazuh release, certificates, containers and dashboard</w:t>
            </w:r>
          </w:p>
        </w:tc>
      </w:tr>
      <w:tr>
        <w:tc>
          <w:tcPr>
            <w:tcW w:type="dxa" w:w="4916"/>
          </w:tcPr>
          <w:p>
            <w:r>
              <w:t>E21-E26</w:t>
            </w:r>
          </w:p>
        </w:tc>
        <w:tc>
          <w:tcPr>
            <w:tcW w:type="dxa" w:w="4916"/>
          </w:tcPr>
          <w:p>
            <w:r>
              <w:t>Windows and Linux enrollment and Active inventory</w:t>
            </w:r>
          </w:p>
        </w:tc>
      </w:tr>
      <w:tr>
        <w:tc>
          <w:tcPr>
            <w:tcW w:type="dxa" w:w="4916"/>
          </w:tcPr>
          <w:p>
            <w:r>
              <w:t>E27-E29</w:t>
            </w:r>
          </w:p>
        </w:tc>
        <w:tc>
          <w:tcPr>
            <w:tcW w:type="dxa" w:w="4916"/>
          </w:tcPr>
          <w:p>
            <w:r>
              <w:t>System naming commands and Windows identity context</w:t>
            </w:r>
          </w:p>
        </w:tc>
      </w:tr>
    </w:tbl>
    <w:p>
      <w:r>
        <w:t>For review at source resolution, use evidence/screenshots/ in the accompanying repository. evidence/manifest.json records dimensions and SHA-256 digests. The editable document is a companion; the PDF is the fixed-layout presentation master.</w:t>
      </w:r>
    </w:p>
    <w:p>
      <w:pPr>
        <w:pStyle w:val="Heading2"/>
      </w:pPr>
      <w:r>
        <w:t>Close-out deliverables</w:t>
      </w:r>
    </w:p>
    <w:p>
      <w:r>
        <w:t>Complete the acceptance matrix in docs/acceptance.md using new screenshots and outputs from the actual VMs. The retrospective journal distinguishes observations from unrecorded troubleshooting; missing events and measurements must be supplied by execution, not reconstruction.</w:t>
      </w:r>
    </w:p>
    <w:p>
      <w:r>
        <w:t>Official technical references: documentation.wazuh.com/current/deployment-options/docker/wazuh-container.html; docs.docker.com/engine/install/ubuntu/; learn.microsoft.com/sysinternals/downloads/sysmon; github.com/SwiftOnSecurity/sysmon-config. These are implementation references, not claims that all documented steps were performed.</w:t>
      </w:r>
    </w:p>
    <w:p>
      <w:r>
        <w:br w:type="page"/>
      </w:r>
    </w:p>
    <w:p>
      <w:pPr>
        <w:pStyle w:val="Subtitle"/>
      </w:pPr>
      <w:r>
        <w:t>EVIDENCE ANNEX</w:t>
      </w:r>
    </w:p>
    <w:p>
      <w:pPr>
        <w:pStyle w:val="Heading1"/>
      </w:pPr>
      <w:r>
        <w:t>Compute provisioning</w:t>
      </w:r>
    </w:p>
    <w:p>
      <w:pPr>
        <w:pStyle w:val="Heading2"/>
      </w:pPr>
      <w:r>
        <w:t>E01 | Windows endpoint resources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81359" cy="23774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359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E01. VMware settings show 4 GB RAM, 4 vCPUs, a 60 GB disk and Custom (VMnet1) networking.</w:t>
      </w:r>
    </w:p>
    <w:p>
      <w:pPr>
        <w:pStyle w:val="Heading2"/>
      </w:pPr>
      <w:r>
        <w:t>E02 | Linux endpoint resources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68114" cy="23774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8114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E02. VMware settings show 4 GB RAM, 2 vCPUs, a 500 GB disk and Custom (VMnet1) networking.</w:t>
      </w:r>
    </w:p>
    <w:p>
      <w:r>
        <w:br w:type="page"/>
      </w:r>
    </w:p>
    <w:p>
      <w:pPr>
        <w:pStyle w:val="Subtitle"/>
      </w:pPr>
      <w:r>
        <w:t>EVIDENCE ANNEX</w:t>
      </w:r>
    </w:p>
    <w:p>
      <w:pPr>
        <w:pStyle w:val="Heading1"/>
      </w:pPr>
      <w:r>
        <w:t>Server &amp; virtual networking</w:t>
      </w:r>
    </w:p>
    <w:p>
      <w:pPr>
        <w:pStyle w:val="Heading2"/>
      </w:pPr>
      <w:r>
        <w:t>E03 | Monitoring server resources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94836" cy="23774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4836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E03. VMware settings show 16 GB RAM, 6 vCPUs, a 500 GB disk, NAT and Custom (VMnet1) adapters.</w:t>
      </w:r>
    </w:p>
    <w:p>
      <w:pPr>
        <w:pStyle w:val="Heading2"/>
      </w:pPr>
      <w:r>
        <w:t>E04 | Virtual network configuration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3600" cy="21722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72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E04. VMnet1 is Host-only on 192.168.38.0; DHCP is enabled. VMnet8 provides a separate NAT network.</w:t>
      </w:r>
    </w:p>
    <w:p>
      <w:r>
        <w:br w:type="page"/>
      </w:r>
    </w:p>
    <w:p>
      <w:pPr>
        <w:pStyle w:val="Subtitle"/>
      </w:pPr>
      <w:r>
        <w:t>EVIDENCE ANNEX</w:t>
      </w:r>
    </w:p>
    <w:p>
      <w:pPr>
        <w:pStyle w:val="Heading1"/>
      </w:pPr>
      <w:r>
        <w:t>Endpoint addressing</w:t>
      </w:r>
    </w:p>
    <w:p>
      <w:pPr>
        <w:pStyle w:val="Heading2"/>
      </w:pPr>
      <w:r>
        <w:t>E05 | Windows address configuration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5263" cy="23774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5263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E05. The Windows endpoint reports 192.168.38.133 with subnet mask 255.255.255.0 and no displayed default gateway.</w:t>
      </w:r>
    </w:p>
    <w:p>
      <w:pPr>
        <w:pStyle w:val="Heading2"/>
      </w:pPr>
      <w:r>
        <w:t>E06 | Linux endpoint address configuration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3600" cy="1651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5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E06. The Linux endpoint reports 192.168.38.131/24. The dynamic flag means static addressing is not demonstrated.</w:t>
      </w:r>
    </w:p>
    <w:p>
      <w:r>
        <w:br w:type="page"/>
      </w:r>
    </w:p>
    <w:p>
      <w:pPr>
        <w:pStyle w:val="Subtitle"/>
      </w:pPr>
      <w:r>
        <w:t>EVIDENCE ANNEX</w:t>
      </w:r>
    </w:p>
    <w:p>
      <w:pPr>
        <w:pStyle w:val="Heading1"/>
      </w:pPr>
      <w:r>
        <w:t>Server network &amp; reachability</w:t>
      </w:r>
    </w:p>
    <w:p>
      <w:pPr>
        <w:pStyle w:val="Heading2"/>
      </w:pPr>
      <w:r>
        <w:t>E07 | Monitoring server interfaces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2112" cy="23774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2112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E07. The server reports 192.168.38.132/24 on ens36 and NAT address 192.168.121.156/24 on ens33; both are marked dynamic.</w:t>
      </w:r>
    </w:p>
    <w:p>
      <w:pPr>
        <w:pStyle w:val="Heading2"/>
      </w:pPr>
      <w:r>
        <w:t>E08 | Server-to-endpoint reachability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23774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E08. The monitoring server receives three replies from each endpoint, with 0% packet loss in both short tests.</w:t>
      </w:r>
    </w:p>
    <w:p>
      <w:r>
        <w:br w:type="page"/>
      </w:r>
    </w:p>
    <w:p>
      <w:pPr>
        <w:pStyle w:val="Subtitle"/>
      </w:pPr>
      <w:r>
        <w:t>EVIDENCE ANNEX</w:t>
      </w:r>
    </w:p>
    <w:p>
      <w:pPr>
        <w:pStyle w:val="Heading1"/>
      </w:pPr>
      <w:r>
        <w:t>Peer connectivity</w:t>
      </w:r>
    </w:p>
    <w:p>
      <w:pPr>
        <w:pStyle w:val="Heading2"/>
      </w:pPr>
      <w:r>
        <w:t>E09 | Linux-to-peer reachability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44359" cy="237744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4359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E09. The Linux endpoint receives three replies from the server and three from Windows, with 0% packet loss.</w:t>
      </w:r>
    </w:p>
    <w:p>
      <w:pPr>
        <w:pStyle w:val="Heading2"/>
      </w:pPr>
      <w:r>
        <w:t>E10 | Windows-to-peer reachability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17965" cy="23774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7965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E10. Windows receives four replies from the Linux endpoint and four from the server, with 0% packet loss.</w:t>
      </w:r>
    </w:p>
    <w:p>
      <w:r>
        <w:br w:type="page"/>
      </w:r>
    </w:p>
    <w:p>
      <w:pPr>
        <w:pStyle w:val="Subtitle"/>
      </w:pPr>
      <w:r>
        <w:t>EVIDENCE ANNEX</w:t>
      </w:r>
    </w:p>
    <w:p>
      <w:pPr>
        <w:pStyle w:val="Heading1"/>
      </w:pPr>
      <w:r>
        <w:t>Endpoint service preparation</w:t>
      </w:r>
    </w:p>
    <w:p>
      <w:pPr>
        <w:pStyle w:val="Heading2"/>
      </w:pPr>
      <w:r>
        <w:t>E11 | Windows Sysmon installation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91887" cy="237744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887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E11. Sysmon v15.22 loads the SwiftOnSecurity configuration; the Sysmon64 service is Running. Dashboard ingestion is not shown.</w:t>
      </w:r>
    </w:p>
    <w:p>
      <w:pPr>
        <w:pStyle w:val="Heading2"/>
      </w:pPr>
      <w:r>
        <w:t>E12 | Apache package installation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3600" cy="134538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453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E12. APT output shows installation of Apache packages on the Linux endpoint; this capture is an installation stage.</w:t>
      </w:r>
    </w:p>
    <w:p>
      <w:r>
        <w:br w:type="page"/>
      </w:r>
    </w:p>
    <w:p>
      <w:pPr>
        <w:pStyle w:val="Subtitle"/>
      </w:pPr>
      <w:r>
        <w:t>EVIDENCE ANNEX</w:t>
      </w:r>
    </w:p>
    <w:p>
      <w:pPr>
        <w:pStyle w:val="Heading1"/>
      </w:pPr>
      <w:r>
        <w:t>Web-service readiness</w:t>
      </w:r>
    </w:p>
    <w:p>
      <w:pPr>
        <w:pStyle w:val="Heading2"/>
      </w:pPr>
      <w:r>
        <w:t>E13 | Apache service state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3600" cy="220042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004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E13. Apache is enabled and active (running). A ServerName warning is visible; the service remains running.</w:t>
      </w:r>
    </w:p>
    <w:p>
      <w:pPr>
        <w:pStyle w:val="Heading2"/>
      </w:pPr>
      <w:r>
        <w:t>E14 | Web-service functional check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3600" cy="230314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03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E14. A browser displays the Apache2 Ubuntu Default Page at the Linux endpoint address. Browser host identity is not independently shown.</w:t>
      </w:r>
    </w:p>
    <w:p>
      <w:r>
        <w:br w:type="page"/>
      </w:r>
    </w:p>
    <w:p>
      <w:pPr>
        <w:pStyle w:val="Subtitle"/>
      </w:pPr>
      <w:r>
        <w:t>EVIDENCE ANNEX</w:t>
      </w:r>
    </w:p>
    <w:p>
      <w:pPr>
        <w:pStyle w:val="Heading1"/>
      </w:pPr>
      <w:r>
        <w:t>Wazuh release &amp; certificates</w:t>
      </w:r>
    </w:p>
    <w:p>
      <w:pPr>
        <w:pStyle w:val="Heading2"/>
      </w:pPr>
      <w:r>
        <w:t>E15 | Pinned Wazuh source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36177" cy="237744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6177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E15. The recorded git clone selects wazuh-docker tag v4.14.7. Detached HEAD is expected for a release tag.</w:t>
      </w:r>
    </w:p>
    <w:p>
      <w:pPr>
        <w:pStyle w:val="Heading2"/>
      </w:pPr>
      <w:r>
        <w:t>E16 | Certificate-generation preparation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28166" cy="237744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8166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E16. The certificate-generation Compose command pulls the Wazuh certificate-tool image for the single-node deployment.</w:t>
      </w:r>
    </w:p>
    <w:p>
      <w:r>
        <w:br w:type="page"/>
      </w:r>
    </w:p>
    <w:p>
      <w:pPr>
        <w:pStyle w:val="Subtitle"/>
      </w:pPr>
      <w:r>
        <w:t>EVIDENCE ANNEX</w:t>
      </w:r>
    </w:p>
    <w:p>
      <w:pPr>
        <w:pStyle w:val="Heading1"/>
      </w:pPr>
      <w:r>
        <w:t>Certificate completion &amp; runtime</w:t>
      </w:r>
    </w:p>
    <w:p>
      <w:pPr>
        <w:pStyle w:val="Heading2"/>
      </w:pPr>
      <w:r>
        <w:t>E17 | Certificate-generation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01682" cy="237744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682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E17. The tool reports certificates created for indexer, manager, Filebeat and dashboard, and moves them into the deployment directory.</w:t>
      </w:r>
    </w:p>
    <w:p>
      <w:pPr>
        <w:pStyle w:val="Heading2"/>
      </w:pPr>
      <w:r>
        <w:t>E18 | Running single-node stack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18626" cy="237744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8626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E18. Docker Compose lists the dashboard, indexer and manager with 4.14.7 images and Up status. This is a point-in-time startup check.</w:t>
      </w:r>
    </w:p>
    <w:p>
      <w:r>
        <w:br w:type="page"/>
      </w:r>
    </w:p>
    <w:p>
      <w:pPr>
        <w:pStyle w:val="Subtitle"/>
      </w:pPr>
      <w:r>
        <w:t>EVIDENCE ANNEX</w:t>
      </w:r>
    </w:p>
    <w:p>
      <w:pPr>
        <w:pStyle w:val="Heading1"/>
      </w:pPr>
      <w:r>
        <w:t>Dashboard access</w:t>
      </w:r>
    </w:p>
    <w:p>
      <w:pPr>
        <w:pStyle w:val="Heading2"/>
      </w:pPr>
      <w:r>
        <w:t>E19 | Dashboard sign-in page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28819" cy="237744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8819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E19. The Wazuh sign-in page is accessible in a browser. This does not prove a password change or certificate trust configuration.</w:t>
      </w:r>
    </w:p>
    <w:p>
      <w:pPr>
        <w:pStyle w:val="Heading2"/>
      </w:pPr>
      <w:r>
        <w:t>E20 | Authenticated dashboard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66040" cy="237744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6040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E20. The Wazuh overview loads after authentication and shows security-event summary widgets. These are not the five required controlled tests.</w:t>
      </w:r>
    </w:p>
    <w:p>
      <w:r>
        <w:br w:type="page"/>
      </w:r>
    </w:p>
    <w:p>
      <w:pPr>
        <w:pStyle w:val="Subtitle"/>
      </w:pPr>
      <w:r>
        <w:t>EVIDENCE ANNEX</w:t>
      </w:r>
    </w:p>
    <w:p>
      <w:pPr>
        <w:pStyle w:val="Heading1"/>
      </w:pPr>
      <w:r>
        <w:t>Windows agent enrollment</w:t>
      </w:r>
    </w:p>
    <w:p>
      <w:pPr>
        <w:pStyle w:val="Heading2"/>
      </w:pPr>
      <w:r>
        <w:t>E21 | Windows enrollment settings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42317" cy="237744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317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E21. The dashboard deployment wizard selects Windows and the manager address 192.168.38.132 for an agent installation.</w:t>
      </w:r>
    </w:p>
    <w:p>
      <w:pPr>
        <w:pStyle w:val="Heading2"/>
      </w:pPr>
      <w:r>
        <w:t>E22 | Windows agent service start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3600" cy="126878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687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E22. The agent install command names win-client. An initial NET HELPMSG 2185 response is followed by a successful WazuhSvc start.</w:t>
      </w:r>
    </w:p>
    <w:p>
      <w:r>
        <w:br w:type="page"/>
      </w:r>
    </w:p>
    <w:p>
      <w:pPr>
        <w:pStyle w:val="Subtitle"/>
      </w:pPr>
      <w:r>
        <w:t>EVIDENCE ANNEX</w:t>
      </w:r>
    </w:p>
    <w:p>
      <w:pPr>
        <w:pStyle w:val="Heading1"/>
      </w:pPr>
      <w:r>
        <w:t>Windows inventory &amp; Linux enrollment</w:t>
      </w:r>
    </w:p>
    <w:p>
      <w:pPr>
        <w:pStyle w:val="Heading2"/>
      </w:pPr>
      <w:r>
        <w:t>E23 | Windows agent active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3600" cy="1955271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552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E23. The inventory lists win-client at 192.168.38.133, agent v4.14.7, with active status.</w:t>
      </w:r>
    </w:p>
    <w:p>
      <w:pPr>
        <w:pStyle w:val="Heading2"/>
      </w:pPr>
      <w:r>
        <w:t>E24 | Linux enrollment settings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23597" cy="237744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597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E24. The dashboard deployment wizard selects Linux and the same monitoring-server address.</w:t>
      </w:r>
    </w:p>
    <w:p>
      <w:r>
        <w:br w:type="page"/>
      </w:r>
    </w:p>
    <w:p>
      <w:pPr>
        <w:pStyle w:val="Subtitle"/>
      </w:pPr>
      <w:r>
        <w:t>EVIDENCE ANNEX</w:t>
      </w:r>
    </w:p>
    <w:p>
      <w:pPr>
        <w:pStyle w:val="Heading1"/>
      </w:pPr>
      <w:r>
        <w:t>Linux service &amp; endpoint coverage</w:t>
      </w:r>
    </w:p>
    <w:p>
      <w:pPr>
        <w:pStyle w:val="Heading2"/>
      </w:pPr>
      <w:r>
        <w:t>E25 | Linux agent service state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3600" cy="184414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441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E25. systemctl reports wazuh-agent enabled and active (running), with agent processes visible.</w:t>
      </w:r>
    </w:p>
    <w:p>
      <w:pPr>
        <w:pStyle w:val="Heading2"/>
      </w:pPr>
      <w:r>
        <w:t>E26 | Two active monitored endpoints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3600" cy="209815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81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E26. The inventory lists win-client and ubuntu-web as active, both on v4.14.7. The Linux endpoint is Ubuntu 22.04.</w:t>
      </w:r>
    </w:p>
    <w:p>
      <w:r>
        <w:br w:type="page"/>
      </w:r>
    </w:p>
    <w:p>
      <w:pPr>
        <w:pStyle w:val="Subtitle"/>
      </w:pPr>
      <w:r>
        <w:t>EVIDENCE ANNEX</w:t>
      </w:r>
    </w:p>
    <w:p>
      <w:pPr>
        <w:pStyle w:val="Heading1"/>
      </w:pPr>
      <w:r>
        <w:t>Asset naming</w:t>
      </w:r>
    </w:p>
    <w:p>
      <w:pPr>
        <w:pStyle w:val="Heading2"/>
      </w:pPr>
      <w:r>
        <w:t>E27 | Monitoring-server naming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3600" cy="80807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80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E27. The hostnamectl command sets the server hostname to siem-host. A separate post-change hostname query is not shown.</w:t>
      </w:r>
    </w:p>
    <w:p>
      <w:pPr>
        <w:pStyle w:val="Heading2"/>
      </w:pPr>
      <w:r>
        <w:t>E28 | Linux endpoint naming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3600" cy="551183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11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E28. The hostnamectl command sets the Linux endpoint hostname to ubuntu-web.</w:t>
      </w:r>
    </w:p>
    <w:p>
      <w:r>
        <w:br w:type="page"/>
      </w:r>
    </w:p>
    <w:p>
      <w:pPr>
        <w:pStyle w:val="Subtitle"/>
      </w:pPr>
      <w:r>
        <w:t>EVIDENCE ANNEX</w:t>
      </w:r>
    </w:p>
    <w:p>
      <w:pPr>
        <w:pStyle w:val="Heading1"/>
      </w:pPr>
      <w:r>
        <w:t>Windows identity context</w:t>
      </w:r>
    </w:p>
    <w:p>
      <w:pPr>
        <w:pStyle w:val="Heading2"/>
      </w:pPr>
      <w:r>
        <w:t>E29 | Windows hostname context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2" w:hRule="exact"/>
        </w:trPr>
        <w:tc>
          <w:tcPr>
            <w:tcW w:type="dxa" w:w="983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3600" cy="1576873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768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Figure E29. whoami returns win-client\roman, supporting the Windows computer-name context.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52" w:right="1037" w:bottom="1080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TET-SOC-001  |  15 OCTOBER 2026     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201168" cy="20116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trio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168" cy="201168"/>
                  </a:xfrm>
                  <a:prstGeom prst="rect"/>
                </pic:spPr>
              </pic:pic>
            </a:graphicData>
          </a:graphic>
        </wp:inline>
      </w:drawing>
    </w:r>
    <w:r>
      <w:t xml:space="preserve">  TETRION   |   SECURITY MONITORING FOUNDATION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41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4141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A477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9A51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Tetrion | Security Monitoring Foundation</dc:title>
  <dc:subject>Deployment &amp; Operational Handover</dc:subject>
  <dc:creator>Roman Rzayev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