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94472" w14:textId="717C00DC" w:rsidR="00D3382F" w:rsidRPr="00D9182A" w:rsidRDefault="003C1464">
      <w:pPr>
        <w:rPr>
          <w:i/>
          <w:iCs/>
          <w:lang w:val="en-US"/>
        </w:rPr>
      </w:pPr>
      <w:r w:rsidRPr="00D9182A">
        <w:rPr>
          <w:i/>
          <w:iCs/>
        </w:rPr>
        <w:t>Краткий</w:t>
      </w:r>
      <w:r w:rsidRPr="00D9182A">
        <w:rPr>
          <w:i/>
          <w:iCs/>
          <w:lang w:val="en-US"/>
        </w:rPr>
        <w:t xml:space="preserve"> </w:t>
      </w:r>
      <w:r w:rsidRPr="00D9182A">
        <w:rPr>
          <w:i/>
          <w:iCs/>
        </w:rPr>
        <w:t>отчет</w:t>
      </w:r>
      <w:r w:rsidRPr="00D9182A">
        <w:rPr>
          <w:i/>
          <w:iCs/>
          <w:lang w:val="en-US"/>
        </w:rPr>
        <w:t xml:space="preserve"> </w:t>
      </w:r>
      <w:r w:rsidRPr="00D9182A">
        <w:rPr>
          <w:i/>
          <w:iCs/>
        </w:rPr>
        <w:t>по</w:t>
      </w:r>
      <w:r w:rsidRPr="00D9182A">
        <w:rPr>
          <w:i/>
          <w:iCs/>
          <w:lang w:val="en-US"/>
        </w:rPr>
        <w:t xml:space="preserve"> </w:t>
      </w:r>
      <w:r w:rsidRPr="00D9182A">
        <w:rPr>
          <w:i/>
          <w:iCs/>
        </w:rPr>
        <w:t>статье</w:t>
      </w:r>
      <w:r w:rsidRPr="00D9182A">
        <w:rPr>
          <w:i/>
          <w:iCs/>
          <w:lang w:val="en-US"/>
        </w:rPr>
        <w:t>: “Ensembled Boosted Trees with Synthetic Features Generation in Application to Bankruptcy prediction”</w:t>
      </w:r>
    </w:p>
    <w:p w14:paraId="3D39EFA8" w14:textId="33316310" w:rsidR="003C1464" w:rsidRDefault="003C1464" w:rsidP="00D9182A">
      <w:pPr>
        <w:jc w:val="center"/>
        <w:rPr>
          <w:b/>
          <w:bCs/>
        </w:rPr>
      </w:pPr>
      <w:r w:rsidRPr="003C1464">
        <w:rPr>
          <w:b/>
          <w:bCs/>
          <w:lang w:val="en-US"/>
        </w:rPr>
        <w:t xml:space="preserve">1. </w:t>
      </w:r>
      <w:r w:rsidRPr="003C1464">
        <w:rPr>
          <w:b/>
          <w:bCs/>
        </w:rPr>
        <w:t>Проблема и цель статьи.</w:t>
      </w:r>
    </w:p>
    <w:p w14:paraId="08B23695" w14:textId="496E226B" w:rsidR="003C1464" w:rsidRDefault="003C1464">
      <w:r>
        <w:t xml:space="preserve">Прогнозирование банкротства предприятия с целью уменьшения социального и экономического риска. </w:t>
      </w:r>
    </w:p>
    <w:p w14:paraId="212B5058" w14:textId="4D0D8C95" w:rsidR="003C1464" w:rsidRDefault="003C1464">
      <w:r>
        <w:t>Цель: разработать модель, которая включает в себя различные эконометрические измерения (</w:t>
      </w:r>
      <w:r w:rsidRPr="003C1464">
        <w:rPr>
          <w:b/>
          <w:bCs/>
        </w:rPr>
        <w:t>синтетические показатели</w:t>
      </w:r>
      <w:r>
        <w:t>) и</w:t>
      </w:r>
      <w:bookmarkStart w:id="0" w:name="_GoBack"/>
      <w:bookmarkEnd w:id="0"/>
      <w:r>
        <w:t xml:space="preserve"> позволяет прогнозировать финансовое состояние фирмы.</w:t>
      </w:r>
    </w:p>
    <w:p w14:paraId="35087817" w14:textId="47E8DAEE" w:rsidR="003C1464" w:rsidRDefault="00D9182A" w:rsidP="00D9182A">
      <w:pPr>
        <w:jc w:val="center"/>
        <w:rPr>
          <w:b/>
          <w:bCs/>
        </w:rPr>
      </w:pPr>
      <w:r w:rsidRPr="00D9182A">
        <w:rPr>
          <w:b/>
          <w:bCs/>
        </w:rPr>
        <w:t>2. Проблемы при составлении модели, подбора данных</w:t>
      </w:r>
    </w:p>
    <w:p w14:paraId="4B23ABA9" w14:textId="14006570" w:rsidR="00D9182A" w:rsidRDefault="00D9182A">
      <w:r>
        <w:t>Исследователи из данной статьи приводят 2 проблемы связанные с прогнозированием банкротства:</w:t>
      </w:r>
    </w:p>
    <w:p w14:paraId="6E4048F6" w14:textId="1FFD39BE" w:rsidR="00D9182A" w:rsidRDefault="00D9182A">
      <w:r w:rsidRPr="00D9182A">
        <w:rPr>
          <w:b/>
          <w:bCs/>
        </w:rPr>
        <w:t>Проблема 1</w:t>
      </w:r>
      <w:r w:rsidRPr="00D9182A">
        <w:t>:</w:t>
      </w:r>
      <w:r>
        <w:t xml:space="preserve"> Экономические индикаторы, описывающие состояние фирмы, устанавливаются экспертами в области экономики. (Ни сразу может быть понятно, как интегрировать показатели в 1 модели)</w:t>
      </w:r>
    </w:p>
    <w:p w14:paraId="5BBAE4C9" w14:textId="7F88EFC9" w:rsidR="00D9182A" w:rsidRDefault="00D9182A">
      <w:r w:rsidRPr="00D9182A">
        <w:rPr>
          <w:b/>
          <w:bCs/>
        </w:rPr>
        <w:t>Проблема 2</w:t>
      </w:r>
      <w:r>
        <w:t>: Данные для прогнозирование обычно несбалансированные. (Компаний-банкротов намного меньше, чем предприятий, которые успешно работают)</w:t>
      </w:r>
    </w:p>
    <w:p w14:paraId="1CE67742" w14:textId="3E44F89E" w:rsidR="00D9182A" w:rsidRDefault="00D9182A">
      <w:r>
        <w:t>Обе эти проблемы влияют на конечный прогноз.</w:t>
      </w:r>
    </w:p>
    <w:p w14:paraId="77029E2F" w14:textId="1961D77B" w:rsidR="00D9182A" w:rsidRDefault="00D9182A" w:rsidP="00D9182A">
      <w:pPr>
        <w:jc w:val="center"/>
        <w:rPr>
          <w:b/>
          <w:bCs/>
        </w:rPr>
      </w:pPr>
      <w:r w:rsidRPr="00D9182A">
        <w:rPr>
          <w:b/>
          <w:bCs/>
        </w:rPr>
        <w:t>3. Методология</w:t>
      </w:r>
    </w:p>
    <w:p w14:paraId="59943B5C" w14:textId="526095A5" w:rsidR="00D9182A" w:rsidRDefault="007D5980" w:rsidP="00D9182A">
      <w:r>
        <w:t xml:space="preserve">В основе статьи лежат такие понятия: алгоритм </w:t>
      </w:r>
      <w:r w:rsidR="00A06762">
        <w:rPr>
          <w:lang w:val="en-US"/>
        </w:rPr>
        <w:t>e</w:t>
      </w:r>
      <w:r>
        <w:rPr>
          <w:lang w:val="en-US"/>
        </w:rPr>
        <w:t>xtreme</w:t>
      </w:r>
      <w:r w:rsidRPr="007D5980">
        <w:t xml:space="preserve"> </w:t>
      </w:r>
      <w:r>
        <w:rPr>
          <w:lang w:val="en-US"/>
        </w:rPr>
        <w:t>gradient</w:t>
      </w:r>
      <w:r w:rsidRPr="007D5980">
        <w:t xml:space="preserve"> </w:t>
      </w:r>
      <w:r>
        <w:rPr>
          <w:lang w:val="en-US"/>
        </w:rPr>
        <w:t>bosting</w:t>
      </w:r>
      <w:r>
        <w:t xml:space="preserve">, генерация синтетических, искусственных показателей, </w:t>
      </w:r>
      <w:r>
        <w:rPr>
          <w:lang w:val="en-US"/>
        </w:rPr>
        <w:t>ensemble</w:t>
      </w:r>
      <w:r w:rsidRPr="007D5980">
        <w:t xml:space="preserve"> </w:t>
      </w:r>
      <w:r>
        <w:rPr>
          <w:lang w:val="en-US"/>
        </w:rPr>
        <w:t>of</w:t>
      </w:r>
      <w:r w:rsidRPr="007D5980">
        <w:t xml:space="preserve"> </w:t>
      </w:r>
      <w:r>
        <w:rPr>
          <w:lang w:val="en-US"/>
        </w:rPr>
        <w:t>boosted</w:t>
      </w:r>
      <w:r w:rsidRPr="007D5980">
        <w:t xml:space="preserve"> </w:t>
      </w:r>
      <w:r>
        <w:rPr>
          <w:lang w:val="en-US"/>
        </w:rPr>
        <w:t>trees</w:t>
      </w:r>
      <w:r w:rsidRPr="007D5980">
        <w:t>.</w:t>
      </w:r>
    </w:p>
    <w:p w14:paraId="4C279506" w14:textId="573222CE" w:rsidR="007D5980" w:rsidRDefault="000445C6" w:rsidP="00D9182A">
      <w:r w:rsidRPr="000445C6">
        <w:rPr>
          <w:b/>
          <w:bCs/>
        </w:rPr>
        <w:t xml:space="preserve">Синтетические показатели – </w:t>
      </w:r>
      <w:r w:rsidRPr="000445C6">
        <w:t>это</w:t>
      </w:r>
      <w:r>
        <w:rPr>
          <w:b/>
          <w:bCs/>
        </w:rPr>
        <w:t xml:space="preserve"> </w:t>
      </w:r>
      <w:r>
        <w:t xml:space="preserve">искусственно созданные </w:t>
      </w:r>
      <w:r w:rsidR="0051050A">
        <w:t>индикаторы</w:t>
      </w:r>
      <w:r>
        <w:t xml:space="preserve">, которые сгенерированы с помощью 2 случайных показателей из основного набора данных и </w:t>
      </w:r>
      <w:r w:rsidR="0051050A">
        <w:t>4</w:t>
      </w:r>
      <w:r w:rsidR="0051050A">
        <w:t xml:space="preserve"> </w:t>
      </w:r>
      <w:r>
        <w:t>случайных арифметических операций (</w:t>
      </w:r>
      <w:proofErr w:type="gramStart"/>
      <w:r>
        <w:t>+,-</w:t>
      </w:r>
      <w:proofErr w:type="gramEnd"/>
      <w:r>
        <w:t>,/,*).</w:t>
      </w:r>
    </w:p>
    <w:p w14:paraId="334D29B2" w14:textId="0DE49299" w:rsidR="0051050A" w:rsidRDefault="0051050A" w:rsidP="0051050A">
      <w:pPr>
        <w:jc w:val="center"/>
        <w:rPr>
          <w:b/>
          <w:bCs/>
        </w:rPr>
      </w:pPr>
      <w:r w:rsidRPr="0051050A">
        <w:rPr>
          <w:b/>
          <w:bCs/>
        </w:rPr>
        <w:t>4. Данные</w:t>
      </w:r>
    </w:p>
    <w:p w14:paraId="14D8B0FB" w14:textId="0A353B9F" w:rsidR="0051050A" w:rsidRPr="0051050A" w:rsidRDefault="0051050A" w:rsidP="0051050A">
      <w:r>
        <w:t>В каждом наборе данных содержатся 64 финансовых показателя + класс прогнозирования (0 – не банкрот, 1 – банкрот)</w:t>
      </w:r>
    </w:p>
    <w:p w14:paraId="18887E3F" w14:textId="77777777" w:rsidR="0051050A" w:rsidRDefault="0051050A" w:rsidP="0051050A">
      <w:pPr>
        <w:ind w:left="-1134" w:right="-568"/>
        <w:rPr>
          <w:rFonts w:cs="Times New Roman"/>
          <w:szCs w:val="28"/>
        </w:rPr>
      </w:pPr>
      <w:r w:rsidRPr="00FF18ED">
        <w:rPr>
          <w:rFonts w:cs="Times New Roman"/>
          <w:szCs w:val="28"/>
        </w:rPr>
        <w:lastRenderedPageBreak/>
        <w:t>1</w:t>
      </w:r>
      <w:r w:rsidRPr="00FF18ED">
        <w:rPr>
          <w:rFonts w:cs="Times New Roman"/>
          <w:szCs w:val="28"/>
          <w:vertAlign w:val="superscript"/>
          <w:lang w:val="en-US"/>
        </w:rPr>
        <w:t>st</w:t>
      </w:r>
      <w:r w:rsidRPr="00FF18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year</w:t>
      </w:r>
      <w:r w:rsidRPr="00FF18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 w:rsidRPr="00FF18ED">
        <w:rPr>
          <w:rFonts w:cs="Times New Roman"/>
          <w:szCs w:val="28"/>
        </w:rPr>
        <w:t xml:space="preserve">данные содержат финансовые </w:t>
      </w:r>
      <w:r>
        <w:rPr>
          <w:rFonts w:cs="Times New Roman"/>
          <w:szCs w:val="28"/>
        </w:rPr>
        <w:t>показатели</w:t>
      </w:r>
      <w:r w:rsidRPr="00FF18ED">
        <w:rPr>
          <w:rFonts w:cs="Times New Roman"/>
          <w:szCs w:val="28"/>
        </w:rPr>
        <w:t xml:space="preserve"> с 1-го года прогнозируемого периода и метку соответствующего класса, которая указывает на статус банкротства через 5 лет.</w:t>
      </w:r>
    </w:p>
    <w:p w14:paraId="476002B7" w14:textId="77777777" w:rsidR="0051050A" w:rsidRDefault="0051050A" w:rsidP="0051050A">
      <w:pPr>
        <w:ind w:left="-1134" w:right="-568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FF18ED">
        <w:rPr>
          <w:rFonts w:cs="Times New Roman"/>
          <w:szCs w:val="28"/>
          <w:vertAlign w:val="superscript"/>
          <w:lang w:val="en-US"/>
        </w:rPr>
        <w:t>nd</w:t>
      </w:r>
      <w:r w:rsidRPr="00FF18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year</w:t>
      </w:r>
      <w:r w:rsidRPr="00FF18ED">
        <w:rPr>
          <w:rFonts w:cs="Times New Roman"/>
          <w:szCs w:val="28"/>
        </w:rPr>
        <w:t xml:space="preserve"> – данные содержат финансовые показатели за 2-й год прогнозируемого периода и метку соответствующего класса, которая указывает на состояние банкротства через 4 года.</w:t>
      </w:r>
    </w:p>
    <w:p w14:paraId="4954F96D" w14:textId="77777777" w:rsidR="0051050A" w:rsidRDefault="0051050A" w:rsidP="0051050A">
      <w:pPr>
        <w:ind w:left="-1134" w:right="-56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FF18ED">
        <w:rPr>
          <w:rFonts w:cs="Times New Roman"/>
          <w:szCs w:val="28"/>
          <w:vertAlign w:val="superscript"/>
          <w:lang w:val="en-US"/>
        </w:rPr>
        <w:t>rd</w:t>
      </w:r>
      <w:r w:rsidRPr="00FF18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year</w:t>
      </w:r>
      <w:r w:rsidRPr="00FF18ED">
        <w:rPr>
          <w:rFonts w:cs="Times New Roman"/>
          <w:szCs w:val="28"/>
        </w:rPr>
        <w:t xml:space="preserve"> – данные содержат финансовые показатели за </w:t>
      </w:r>
      <w:r>
        <w:rPr>
          <w:rFonts w:cs="Times New Roman"/>
          <w:szCs w:val="28"/>
        </w:rPr>
        <w:t>3</w:t>
      </w:r>
      <w:r w:rsidRPr="00FF18E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и</w:t>
      </w:r>
      <w:r w:rsidRPr="00FF18ED">
        <w:rPr>
          <w:rFonts w:cs="Times New Roman"/>
          <w:szCs w:val="28"/>
        </w:rPr>
        <w:t xml:space="preserve">й год прогнозируемого периода и метку соответствующего класса, которая указывает на состояние банкротства через </w:t>
      </w:r>
      <w:r>
        <w:rPr>
          <w:rFonts w:cs="Times New Roman"/>
          <w:szCs w:val="28"/>
        </w:rPr>
        <w:t>3</w:t>
      </w:r>
      <w:r w:rsidRPr="00FF18ED">
        <w:rPr>
          <w:rFonts w:cs="Times New Roman"/>
          <w:szCs w:val="28"/>
        </w:rPr>
        <w:t xml:space="preserve"> года.</w:t>
      </w:r>
    </w:p>
    <w:p w14:paraId="5BF1A75C" w14:textId="77777777" w:rsidR="0051050A" w:rsidRDefault="0051050A" w:rsidP="0051050A">
      <w:pPr>
        <w:ind w:left="-1134" w:right="-568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FF18ED">
        <w:rPr>
          <w:rFonts w:cs="Times New Roman"/>
          <w:szCs w:val="28"/>
          <w:vertAlign w:val="superscript"/>
          <w:lang w:val="en-US"/>
        </w:rPr>
        <w:t>th</w:t>
      </w:r>
      <w:r w:rsidRPr="00FF18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year</w:t>
      </w:r>
      <w:r w:rsidRPr="00FF18ED">
        <w:rPr>
          <w:rFonts w:cs="Times New Roman"/>
          <w:szCs w:val="28"/>
        </w:rPr>
        <w:t xml:space="preserve"> – данные содержат финансовые показатели за 4-й год прогнозируемого периода и метку соответствующего класса, которая указывает на состояние банкротства через 2 года.</w:t>
      </w:r>
    </w:p>
    <w:p w14:paraId="60AE4950" w14:textId="373D078C" w:rsidR="0051050A" w:rsidRDefault="0051050A" w:rsidP="0051050A">
      <w:pPr>
        <w:ind w:left="-1134" w:right="-568"/>
        <w:rPr>
          <w:rFonts w:cs="Times New Roman"/>
          <w:szCs w:val="28"/>
        </w:rPr>
      </w:pPr>
      <w:r w:rsidRPr="00FF18ED">
        <w:rPr>
          <w:rFonts w:cs="Times New Roman"/>
          <w:szCs w:val="28"/>
        </w:rPr>
        <w:t>5</w:t>
      </w:r>
      <w:r w:rsidRPr="00FF18ED">
        <w:rPr>
          <w:rFonts w:cs="Times New Roman"/>
          <w:szCs w:val="28"/>
          <w:vertAlign w:val="superscript"/>
          <w:lang w:val="en-US"/>
        </w:rPr>
        <w:t>th</w:t>
      </w:r>
      <w:r w:rsidRPr="00FF18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year</w:t>
      </w:r>
      <w:r w:rsidRPr="00FF18ED">
        <w:rPr>
          <w:rFonts w:cs="Times New Roman"/>
          <w:szCs w:val="28"/>
        </w:rPr>
        <w:t xml:space="preserve"> – данные содержат финансовые показатели за 5-й год прогнозируемого периода и метку соответствующего класса, которая указывает на состояние банкротства через 1 год.</w:t>
      </w:r>
    </w:p>
    <w:p w14:paraId="3B5755F5" w14:textId="4931984C" w:rsidR="0051050A" w:rsidRPr="0051050A" w:rsidRDefault="0051050A" w:rsidP="0051050A">
      <w:pPr>
        <w:ind w:left="-1134" w:right="-568"/>
        <w:jc w:val="center"/>
        <w:rPr>
          <w:rFonts w:cs="Times New Roman"/>
          <w:b/>
          <w:bCs/>
          <w:szCs w:val="28"/>
        </w:rPr>
      </w:pPr>
      <w:r w:rsidRPr="0051050A">
        <w:rPr>
          <w:rFonts w:cs="Times New Roman"/>
          <w:b/>
          <w:bCs/>
          <w:szCs w:val="28"/>
        </w:rPr>
        <w:t>5. Эксперимент</w:t>
      </w:r>
    </w:p>
    <w:p w14:paraId="7228917A" w14:textId="09CD0328" w:rsidR="00D9182A" w:rsidRDefault="00A06762" w:rsidP="0051050A">
      <w:r>
        <w:t>Для тренировки и выбора оптимальных гиперпараметров модели была выполнены 10-ти фолдовая кросс валидация.</w:t>
      </w:r>
    </w:p>
    <w:p w14:paraId="18FEDA51" w14:textId="254A9466" w:rsidR="00A06762" w:rsidRDefault="00A06762" w:rsidP="0051050A">
      <w:r>
        <w:t xml:space="preserve">В связи с несбалансированными данными, авторы статьи использовали </w:t>
      </w:r>
      <w:r>
        <w:rPr>
          <w:lang w:val="en-US"/>
        </w:rPr>
        <w:t>AUC</w:t>
      </w:r>
      <w:r w:rsidRPr="00A06762">
        <w:t xml:space="preserve"> </w:t>
      </w:r>
      <w:r>
        <w:t>кривую для оценки качества моделей.</w:t>
      </w:r>
    </w:p>
    <w:p w14:paraId="392BD6C9" w14:textId="652BA004" w:rsidR="00A06762" w:rsidRDefault="00A06762" w:rsidP="0051050A">
      <w:r w:rsidRPr="00A06762">
        <w:t xml:space="preserve">Для </w:t>
      </w:r>
      <w:r>
        <w:rPr>
          <w:lang w:val="en-US"/>
        </w:rPr>
        <w:t>ensemble</w:t>
      </w:r>
      <w:r w:rsidRPr="00A06762">
        <w:t xml:space="preserve"> </w:t>
      </w:r>
      <w:r>
        <w:rPr>
          <w:lang w:val="en-US"/>
        </w:rPr>
        <w:t>boosted</w:t>
      </w:r>
      <w:r w:rsidRPr="00A06762">
        <w:t xml:space="preserve"> </w:t>
      </w:r>
      <w:r>
        <w:rPr>
          <w:lang w:val="en-US"/>
        </w:rPr>
        <w:t>trees</w:t>
      </w:r>
      <w:r w:rsidRPr="00A06762">
        <w:t xml:space="preserve"> </w:t>
      </w:r>
      <w:r>
        <w:t>авторы</w:t>
      </w:r>
      <w:r w:rsidRPr="00A06762">
        <w:t xml:space="preserve"> получили наилучшие результаты для числа базовых учащихся</w:t>
      </w:r>
      <w:r w:rsidR="00571FCA">
        <w:t xml:space="preserve"> (</w:t>
      </w:r>
      <w:r w:rsidR="00571FCA">
        <w:rPr>
          <w:lang w:val="en-US"/>
        </w:rPr>
        <w:t>base</w:t>
      </w:r>
      <w:r w:rsidR="00571FCA" w:rsidRPr="00571FCA">
        <w:t xml:space="preserve"> </w:t>
      </w:r>
      <w:r w:rsidR="00571FCA">
        <w:rPr>
          <w:lang w:val="en-US"/>
        </w:rPr>
        <w:t>learners</w:t>
      </w:r>
      <w:r w:rsidR="00571FCA" w:rsidRPr="00571FCA">
        <w:t>)</w:t>
      </w:r>
      <w:r w:rsidRPr="00A06762">
        <w:t xml:space="preserve">, равного 10, и количества синтетических </w:t>
      </w:r>
      <w:r w:rsidR="00571FCA">
        <w:t>показателей</w:t>
      </w:r>
      <w:r w:rsidRPr="00A06762">
        <w:t xml:space="preserve">, сгенерированных на каждой итерации, равных 60. </w:t>
      </w:r>
      <w:r w:rsidR="00571FCA">
        <w:t>Искусственный финансовый</w:t>
      </w:r>
      <w:r w:rsidRPr="00A06762">
        <w:t xml:space="preserve"> </w:t>
      </w:r>
      <w:r w:rsidR="00571FCA">
        <w:t xml:space="preserve">показатель </w:t>
      </w:r>
      <w:r w:rsidRPr="00A06762">
        <w:t xml:space="preserve">принимается для следующей итерации, если </w:t>
      </w:r>
      <w:r w:rsidR="00571FCA">
        <w:t>он</w:t>
      </w:r>
      <w:r w:rsidRPr="00A06762">
        <w:t xml:space="preserve"> наблюдал</w:t>
      </w:r>
      <w:r w:rsidR="00571FCA">
        <w:t>ся</w:t>
      </w:r>
      <w:r w:rsidRPr="00A06762">
        <w:t xml:space="preserve"> как минимум в 5% деревьев в лесу</w:t>
      </w:r>
      <w:r w:rsidR="00571FCA">
        <w:t>.</w:t>
      </w:r>
    </w:p>
    <w:p w14:paraId="55A69DA2" w14:textId="21D130BD" w:rsidR="00571FCA" w:rsidRPr="00571FCA" w:rsidRDefault="00571FCA" w:rsidP="00571FCA">
      <w:pPr>
        <w:jc w:val="center"/>
        <w:rPr>
          <w:b/>
          <w:bCs/>
          <w:sz w:val="32"/>
          <w:szCs w:val="24"/>
        </w:rPr>
      </w:pPr>
      <w:r w:rsidRPr="00571FCA">
        <w:rPr>
          <w:b/>
          <w:bCs/>
          <w:sz w:val="32"/>
          <w:szCs w:val="24"/>
        </w:rPr>
        <w:t>Результаты</w:t>
      </w:r>
    </w:p>
    <w:p w14:paraId="71479394" w14:textId="28224F22" w:rsidR="00571FCA" w:rsidRDefault="00571FCA" w:rsidP="00571FCA">
      <w:r>
        <w:t>Р</w:t>
      </w:r>
      <w:r w:rsidRPr="00571FCA">
        <w:t xml:space="preserve">езультаты </w:t>
      </w:r>
      <w:r>
        <w:t xml:space="preserve">эксперимента </w:t>
      </w:r>
      <w:r w:rsidRPr="00571FCA">
        <w:t xml:space="preserve">представлены в таблице </w:t>
      </w:r>
      <w:r w:rsidR="006D43F4">
        <w:t>ниже</w:t>
      </w:r>
      <w:r w:rsidR="00C12115">
        <w:t xml:space="preserve"> (рис. 1)</w:t>
      </w:r>
      <w:r w:rsidRPr="00571FCA">
        <w:t xml:space="preserve">. Для каждого из рассмотренных периодов и исследованных моделей </w:t>
      </w:r>
      <w:r w:rsidR="006D43F4">
        <w:t>авторы</w:t>
      </w:r>
      <w:r w:rsidRPr="00571FCA">
        <w:t xml:space="preserve"> представ</w:t>
      </w:r>
      <w:r w:rsidR="006D43F4">
        <w:t xml:space="preserve">или </w:t>
      </w:r>
      <w:r w:rsidRPr="00571FCA">
        <w:t>среднее (MN) и стандартное отклонение (STD) для измерения AUC, которое было рассчитано на основе</w:t>
      </w:r>
      <w:r w:rsidR="006D43F4">
        <w:t xml:space="preserve"> 10ти фолдовой кросс валидации</w:t>
      </w:r>
      <w:r w:rsidRPr="00571FCA">
        <w:t>.</w:t>
      </w:r>
    </w:p>
    <w:p w14:paraId="72D9D0CD" w14:textId="474282A6" w:rsidR="00571FCA" w:rsidRDefault="00571FCA" w:rsidP="00571FCA">
      <w:pPr>
        <w:jc w:val="center"/>
      </w:pPr>
      <w:r w:rsidRPr="00571FCA">
        <w:lastRenderedPageBreak/>
        <w:drawing>
          <wp:inline distT="0" distB="0" distL="0" distR="0" wp14:anchorId="7AE5D222" wp14:editId="0B6E4EC9">
            <wp:extent cx="5010068" cy="27527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544" cy="27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F617" w14:textId="582B1D00" w:rsidR="00C12115" w:rsidRPr="00571FCA" w:rsidRDefault="00C12115" w:rsidP="00571FCA">
      <w:pPr>
        <w:jc w:val="center"/>
      </w:pPr>
      <w:r>
        <w:t>Рисунок 1 – результаты эксперимента для рассматриваемых классификационных моделей</w:t>
      </w:r>
    </w:p>
    <w:p w14:paraId="5C723AE7" w14:textId="7E0C7A57" w:rsidR="00A06762" w:rsidRPr="00C12115" w:rsidRDefault="00C12115" w:rsidP="00C12115">
      <w:pPr>
        <w:jc w:val="center"/>
        <w:rPr>
          <w:b/>
          <w:bCs/>
        </w:rPr>
      </w:pPr>
      <w:r w:rsidRPr="00C12115">
        <w:rPr>
          <w:b/>
          <w:bCs/>
        </w:rPr>
        <w:t>Анализ важности показателей</w:t>
      </w:r>
    </w:p>
    <w:p w14:paraId="3FBE5118" w14:textId="774FF915" w:rsidR="00C12115" w:rsidRDefault="00C12115" w:rsidP="00C12115">
      <w:r>
        <w:t>Авторы статьи</w:t>
      </w:r>
      <w:r w:rsidRPr="00C12115">
        <w:t xml:space="preserve"> оценили важность признаков, рассчитав </w:t>
      </w:r>
      <w:r>
        <w:t xml:space="preserve">их </w:t>
      </w:r>
      <w:r w:rsidRPr="00C12115">
        <w:t>общее количество, наблюдаем</w:t>
      </w:r>
      <w:r>
        <w:t>ое</w:t>
      </w:r>
      <w:r w:rsidRPr="00C12115">
        <w:t xml:space="preserve"> в узлах структуры леса, по общему количеству узлов в деревьях, составляющих лес. Другими словами, </w:t>
      </w:r>
      <w:r>
        <w:t>они</w:t>
      </w:r>
      <w:r w:rsidRPr="00C12115">
        <w:t xml:space="preserve"> </w:t>
      </w:r>
      <w:r>
        <w:t>приняли</w:t>
      </w:r>
      <w:r w:rsidRPr="00C12115">
        <w:t xml:space="preserve"> во внимание категориальное распределение</w:t>
      </w:r>
      <w:r>
        <w:t>.</w:t>
      </w:r>
    </w:p>
    <w:p w14:paraId="5213992F" w14:textId="63BC693E" w:rsidR="00C12115" w:rsidRDefault="00C12115" w:rsidP="00C12115">
      <w:r>
        <w:t>Проанализировав результат, исследователи выделили следующие важные финансовые показатели:</w:t>
      </w:r>
    </w:p>
    <w:p w14:paraId="4E1E5846" w14:textId="1C982EDE" w:rsidR="00C12115" w:rsidRPr="006E26D3" w:rsidRDefault="00C12115" w:rsidP="00C12115">
      <w:r>
        <w:rPr>
          <w:lang w:val="en-US"/>
        </w:rPr>
        <w:t>X</w:t>
      </w:r>
      <w:r w:rsidRPr="00C12115">
        <w:t xml:space="preserve">25 – </w:t>
      </w:r>
      <w:r w:rsidRPr="00C12115">
        <w:t>скорректированная доля собственного капитала в финанс</w:t>
      </w:r>
      <w:r>
        <w:t xml:space="preserve">овых </w:t>
      </w:r>
      <w:r w:rsidRPr="00C12115">
        <w:t>актив</w:t>
      </w:r>
      <w:r>
        <w:t>ах</w:t>
      </w:r>
      <w:r w:rsidR="006E26D3" w:rsidRPr="006E26D3">
        <w:t>;</w:t>
      </w:r>
    </w:p>
    <w:p w14:paraId="0FBCE662" w14:textId="6C463BF6" w:rsidR="00C12115" w:rsidRPr="006E26D3" w:rsidRDefault="00C12115" w:rsidP="00C12115">
      <w:r>
        <w:rPr>
          <w:lang w:val="en-US"/>
        </w:rPr>
        <w:t>X</w:t>
      </w:r>
      <w:r w:rsidRPr="006E26D3">
        <w:t xml:space="preserve">40 – </w:t>
      </w:r>
      <w:r w:rsidR="006E26D3" w:rsidRPr="006E26D3">
        <w:t>Коэффициент текущей ликвидности</w:t>
      </w:r>
      <w:r w:rsidR="006E26D3" w:rsidRPr="006E26D3">
        <w:t>;</w:t>
      </w:r>
    </w:p>
    <w:p w14:paraId="5D772D53" w14:textId="62FB9587" w:rsidR="006E26D3" w:rsidRDefault="006E26D3" w:rsidP="00C12115">
      <w:r>
        <w:rPr>
          <w:lang w:val="en-US"/>
        </w:rPr>
        <w:t>X</w:t>
      </w:r>
      <w:r w:rsidRPr="006E26D3">
        <w:t xml:space="preserve">52 – </w:t>
      </w:r>
      <w:r w:rsidRPr="006E26D3">
        <w:t>Коэффициент оборачиваемсти кредиторской задолженности</w:t>
      </w:r>
      <w:r w:rsidR="00E05593" w:rsidRPr="00E05593">
        <w:t>.</w:t>
      </w:r>
    </w:p>
    <w:p w14:paraId="1B779814" w14:textId="5C216D37" w:rsidR="00E05593" w:rsidRDefault="00E05593" w:rsidP="00C12115">
      <w:r>
        <w:t>Также выделяют следующие индикаторы, которые тоже могут быть полезными в прогнозировании.</w:t>
      </w:r>
    </w:p>
    <w:p w14:paraId="0967BF82" w14:textId="3D27BBE3" w:rsidR="00E05593" w:rsidRDefault="00E05593" w:rsidP="00C12115">
      <w:r>
        <w:rPr>
          <w:lang w:val="en-US"/>
        </w:rPr>
        <w:t>X</w:t>
      </w:r>
      <w:r w:rsidRPr="00E05593">
        <w:t xml:space="preserve">13, </w:t>
      </w:r>
      <w:r>
        <w:rPr>
          <w:lang w:val="en-US"/>
        </w:rPr>
        <w:t>X</w:t>
      </w:r>
      <w:r w:rsidRPr="00E05593">
        <w:t xml:space="preserve">22, </w:t>
      </w:r>
      <w:r>
        <w:rPr>
          <w:lang w:val="en-US"/>
        </w:rPr>
        <w:t>X</w:t>
      </w:r>
      <w:r w:rsidRPr="00E05593">
        <w:t xml:space="preserve">31, </w:t>
      </w:r>
      <w:r>
        <w:rPr>
          <w:lang w:val="en-US"/>
        </w:rPr>
        <w:t>X</w:t>
      </w:r>
      <w:r w:rsidRPr="00E05593">
        <w:t>42 –</w:t>
      </w:r>
      <w:r>
        <w:t xml:space="preserve"> коэффициенты прибыли</w:t>
      </w:r>
      <w:r w:rsidRPr="00E05593">
        <w:t>;</w:t>
      </w:r>
    </w:p>
    <w:p w14:paraId="385FB76D" w14:textId="5C2CC296" w:rsidR="00E05593" w:rsidRDefault="00E05593" w:rsidP="00C12115">
      <w:pPr>
        <w:rPr>
          <w:lang w:val="en-US"/>
        </w:rPr>
      </w:pPr>
      <w:r>
        <w:rPr>
          <w:lang w:val="en-US"/>
        </w:rPr>
        <w:t xml:space="preserve">X15 – </w:t>
      </w:r>
      <w:r w:rsidRPr="00E05593">
        <w:rPr>
          <w:lang w:val="en-US"/>
        </w:rPr>
        <w:t>коэффициенты кредитного плеча</w:t>
      </w:r>
      <w:r>
        <w:rPr>
          <w:lang w:val="en-US"/>
        </w:rPr>
        <w:t>;</w:t>
      </w:r>
    </w:p>
    <w:p w14:paraId="3C31DDD8" w14:textId="083619C7" w:rsidR="00E05593" w:rsidRDefault="00E05593" w:rsidP="00C12115">
      <w:r>
        <w:rPr>
          <w:lang w:val="en-US"/>
        </w:rPr>
        <w:t>X</w:t>
      </w:r>
      <w:r w:rsidRPr="00E05593">
        <w:t xml:space="preserve">9, </w:t>
      </w:r>
      <w:r>
        <w:rPr>
          <w:lang w:val="en-US"/>
        </w:rPr>
        <w:t>X</w:t>
      </w:r>
      <w:r w:rsidRPr="00E05593">
        <w:t xml:space="preserve">36, </w:t>
      </w:r>
      <w:r>
        <w:rPr>
          <w:lang w:val="en-US"/>
        </w:rPr>
        <w:t>X</w:t>
      </w:r>
      <w:r w:rsidRPr="00E05593">
        <w:t xml:space="preserve">48, </w:t>
      </w:r>
      <w:r>
        <w:rPr>
          <w:lang w:val="en-US"/>
        </w:rPr>
        <w:t>X</w:t>
      </w:r>
      <w:r w:rsidRPr="00E05593">
        <w:t xml:space="preserve">52 – </w:t>
      </w:r>
      <w:r w:rsidRPr="00E05593">
        <w:t>показатели операционной эффективности</w:t>
      </w:r>
      <w:r w:rsidRPr="00E05593">
        <w:t>;</w:t>
      </w:r>
    </w:p>
    <w:p w14:paraId="549596F4" w14:textId="68A44B76" w:rsidR="00A06762" w:rsidRPr="00A06762" w:rsidRDefault="00E05593" w:rsidP="0051050A">
      <w:r>
        <w:rPr>
          <w:lang w:val="en-US"/>
        </w:rPr>
        <w:t>X</w:t>
      </w:r>
      <w:r w:rsidRPr="00E05593">
        <w:t xml:space="preserve">5, </w:t>
      </w:r>
      <w:r>
        <w:rPr>
          <w:lang w:val="en-US"/>
        </w:rPr>
        <w:t>X</w:t>
      </w:r>
      <w:r w:rsidRPr="00E05593">
        <w:t xml:space="preserve">27, </w:t>
      </w:r>
      <w:r>
        <w:rPr>
          <w:lang w:val="en-US"/>
        </w:rPr>
        <w:t>X</w:t>
      </w:r>
      <w:r w:rsidRPr="00E05593">
        <w:t xml:space="preserve">58 – </w:t>
      </w:r>
      <w:r>
        <w:t>иные показатели.</w:t>
      </w:r>
    </w:p>
    <w:sectPr w:rsidR="00A06762" w:rsidRPr="00A0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95"/>
    <w:rsid w:val="000445C6"/>
    <w:rsid w:val="003C1464"/>
    <w:rsid w:val="0051050A"/>
    <w:rsid w:val="00571FCA"/>
    <w:rsid w:val="006D43F4"/>
    <w:rsid w:val="006E26D3"/>
    <w:rsid w:val="007D5980"/>
    <w:rsid w:val="009A7243"/>
    <w:rsid w:val="00A06762"/>
    <w:rsid w:val="00A87D3A"/>
    <w:rsid w:val="00C12115"/>
    <w:rsid w:val="00D32195"/>
    <w:rsid w:val="00D3382F"/>
    <w:rsid w:val="00D9182A"/>
    <w:rsid w:val="00E0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AA1D"/>
  <w15:chartTrackingRefBased/>
  <w15:docId w15:val="{D913F605-A97A-4368-BDB5-C47C1DA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182A"/>
    <w:pPr>
      <w:spacing w:before="40" w:after="40" w:line="360" w:lineRule="auto"/>
      <w:ind w:firstLine="39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6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2019-11-03T14:56:00Z</dcterms:created>
  <dcterms:modified xsi:type="dcterms:W3CDTF">2019-11-03T16:57:00Z</dcterms:modified>
</cp:coreProperties>
</file>