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2198E42F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 xml:space="preserve"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 xml:space="preserve">Statement of Need ID#: 20250421-0003</w:t>
      </w:r>
    </w:p>
    <w:p w14:paraId="09383DBE" w14:textId="2E088146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="00E42A84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 xml:space="preserve">Approved by IT: 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romancampbell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 xml:space="preserve"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2025-04-21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 xml:space="preserve"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/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 xml:space="preserve"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6E475628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3111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51140E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SHVT/J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paper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12.0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144.0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need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1CD2" w14:textId="77777777" w:rsidR="00DB11D3" w:rsidRDefault="00DB11D3" w:rsidP="00416252">
      <w:r>
        <w:separator/>
      </w:r>
    </w:p>
  </w:endnote>
  <w:endnote w:type="continuationSeparator" w:id="0">
    <w:p w14:paraId="624317AF" w14:textId="77777777" w:rsidR="00DB11D3" w:rsidRDefault="00DB11D3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F299B" w14:textId="77777777" w:rsidR="00DB11D3" w:rsidRDefault="00DB11D3" w:rsidP="00416252">
      <w:r>
        <w:separator/>
      </w:r>
    </w:p>
  </w:footnote>
  <w:footnote w:type="continuationSeparator" w:id="0">
    <w:p w14:paraId="7058B54D" w14:textId="77777777" w:rsidR="00DB11D3" w:rsidRDefault="00DB11D3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44F8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1529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5751D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11D3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2A84"/>
    <w:rsid w:val="00E46D76"/>
    <w:rsid w:val="00E47094"/>
    <w:rsid w:val="00E544E7"/>
    <w:rsid w:val="00E550ED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07BC5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1B572E"/>
    <w:rsid w:val="0027440E"/>
    <w:rsid w:val="0035413A"/>
    <w:rsid w:val="0039640D"/>
    <w:rsid w:val="00412DC0"/>
    <w:rsid w:val="004F0A23"/>
    <w:rsid w:val="004F1970"/>
    <w:rsid w:val="005947F2"/>
    <w:rsid w:val="005B0E82"/>
    <w:rsid w:val="0065751D"/>
    <w:rsid w:val="006B0854"/>
    <w:rsid w:val="007D275D"/>
    <w:rsid w:val="00852A27"/>
    <w:rsid w:val="00870179"/>
    <w:rsid w:val="009A1790"/>
    <w:rsid w:val="00B25D27"/>
    <w:rsid w:val="00B35CCF"/>
    <w:rsid w:val="00BB1E7D"/>
    <w:rsid w:val="00DA1D72"/>
    <w:rsid w:val="00E47094"/>
    <w:rsid w:val="00E5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14</cp:revision>
  <cp:lastPrinted>2017-08-31T16:57:00Z</cp:lastPrinted>
  <dcterms:created xsi:type="dcterms:W3CDTF">2025-04-17T15:28:00Z</dcterms:created>
  <dcterms:modified xsi:type="dcterms:W3CDTF">2025-04-19T16:41:00Z</dcterms:modified>
  <dc:description/>
  <dc:identifier/>
  <dc:language/>
  <dc:subject/>
  <dc:title/>
</cp:coreProperties>
</file>