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400"/>
        <w:jc w:val="center"/>
      </w:pPr>
      <w:r>
        <w:rPr>
          <w:b/>
          <w:bCs/>
          <w:color w:val="1A252F"/>
          <w:sz w:val="64"/>
          <w:szCs w:val="64"/>
        </w:rPr>
        <w:t xml:space="preserve">VitaSang</w:t>
      </w:r>
    </w:p>
    <w:p>
      <w:pPr>
        <w:spacing w:after="200"/>
        <w:jc w:val="center"/>
      </w:pPr>
      <w:r>
        <w:rPr>
          <w:color w:val="C0392B"/>
          <w:sz w:val="32"/>
          <w:szCs w:val="32"/>
        </w:rPr>
        <w:t xml:space="preserve">Guide Complet de Corrections et d'Améliorations</w:t>
      </w:r>
    </w:p>
    <w:p>
      <w:pPr>
        <w:spacing w:after="160"/>
        <w:jc w:val="center"/>
      </w:pPr>
      <w:r>
        <w:rPr>
          <w:color w:val="566573"/>
          <w:sz w:val="24"/>
          <w:szCs w:val="24"/>
        </w:rPr>
        <w:t xml:space="preserve">Analyse architecturale — Réalités du Cameroun</w:t>
      </w:r>
    </w:p>
    <w:p>
      <w:pPr>
        <w:spacing w:after="160"/>
        <w:jc w:val="center"/>
      </w:pPr>
      <w:r>
        <w:rPr>
          <w:color w:val="566573"/>
          <w:sz w:val="22"/>
          <w:szCs w:val="22"/>
        </w:rPr>
        <w:t xml:space="preserve">Christian Tenda  |  IUC — BTS Génie Logiciel  |  Mars 2026</w:t>
      </w:r>
    </w:p>
    <w:p>
      <w:pPr>
        <w:spacing w:before="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52F" w:val="clear"/>
            <w:tcMar>
              <w:top w:type="dxa" w:w="180"/>
              <w:left w:type="dxa" w:w="240"/>
              <w:bottom w:type="dxa" w:w="180"/>
              <w:right w:type="dxa" w:w="240"/>
            </w:tcMar>
          </w:tcPr>
          <w:p>
            <w:r>
              <w:rPr>
                <w:b/>
                <w:bCs/>
                <w:color w:val="FFFFFF"/>
                <w:sz w:val="22"/>
                <w:szCs w:val="22"/>
              </w:rPr>
              <w:t xml:space="preserve">Ce document recense l'intégralité des corrections à apporter au code et au rapport, classées par priorité et accompagnées des solutions concrètes. Il tient compte des réalités terrain du Cameroun (connectivité, modèle de don, acteurs institutionnels).</w:t>
            </w:r>
          </w:p>
        </w:tc>
      </w:tr>
    </w:tbl>
    <w:p>
      <w:pPr>
        <w:spacing w:before="0" w:after="240"/>
      </w:pPr>
    </w:p>
    <w:p>
      <w:r>
        <w:br w:type="page"/>
      </w:r>
    </w:p>
    <w:p>
      <w:pPr>
        <w:pStyle w:val="Heading1"/>
        <w:spacing w:before="400" w:after="200"/>
      </w:pPr>
      <w:r>
        <w:rPr>
          <w:b/>
          <w:bCs/>
          <w:color w:val="1A252F"/>
          <w:sz w:val="36"/>
          <w:szCs w:val="36"/>
        </w:rPr>
        <w:t xml:space="preserve">Table des matières</w:t>
      </w:r>
    </w:p>
    <w:p>
      <w:pPr>
        <w:pStyle w:val="ListParagraph"/>
        <w:numPr>
          <w:ilvl w:val="0"/>
          <w:numId w:val="1"/>
        </w:numPr>
        <w:spacing w:before="60" w:after="60"/>
      </w:pPr>
      <w:r>
        <w:rPr>
          <w:b/>
          <w:bCs/>
          <w:color w:val="C0392B"/>
          <w:sz w:val="22"/>
          <w:szCs w:val="22"/>
        </w:rPr>
        <w:t xml:space="preserve">Section 1 — Corrections urgentes (bugs bloquants en production)</w:t>
      </w:r>
    </w:p>
    <w:p>
      <w:pPr>
        <w:pStyle w:val="ListParagraph"/>
        <w:numPr>
          <w:ilvl w:val="0"/>
          <w:numId w:val="1"/>
        </w:numPr>
        <w:spacing w:before="60" w:after="60"/>
      </w:pPr>
      <w:r>
        <w:rPr>
          <w:b w:val="false"/>
          <w:bCs w:val="false"/>
          <w:sz w:val="22"/>
          <w:szCs w:val="22"/>
        </w:rPr>
        <w:t xml:space="preserve">Section 2 — Incohérences rapport ↔ code</w:t>
      </w:r>
    </w:p>
    <w:p>
      <w:pPr>
        <w:pStyle w:val="ListParagraph"/>
        <w:numPr>
          <w:ilvl w:val="0"/>
          <w:numId w:val="1"/>
        </w:numPr>
        <w:spacing w:before="60" w:after="60"/>
      </w:pPr>
      <w:r>
        <w:rPr>
          <w:b w:val="false"/>
          <w:bCs w:val="false"/>
          <w:sz w:val="22"/>
          <w:szCs w:val="22"/>
        </w:rPr>
        <w:t xml:space="preserve">Section 3 — Problèmes de conception fondamentaux</w:t>
      </w:r>
    </w:p>
    <w:p>
      <w:pPr>
        <w:pStyle w:val="ListParagraph"/>
        <w:numPr>
          <w:ilvl w:val="0"/>
          <w:numId w:val="1"/>
        </w:numPr>
        <w:spacing w:before="60" w:after="60"/>
      </w:pPr>
      <w:r>
        <w:rPr>
          <w:b w:val="false"/>
          <w:bCs w:val="false"/>
          <w:sz w:val="22"/>
          <w:szCs w:val="22"/>
        </w:rPr>
        <w:t xml:space="preserve">Section 4 — Adaptations au contexte camerounais</w:t>
      </w:r>
    </w:p>
    <w:p>
      <w:pPr>
        <w:pStyle w:val="ListParagraph"/>
        <w:numPr>
          <w:ilvl w:val="0"/>
          <w:numId w:val="1"/>
        </w:numPr>
        <w:spacing w:before="60" w:after="60"/>
      </w:pPr>
      <w:r>
        <w:rPr>
          <w:b w:val="false"/>
          <w:bCs w:val="false"/>
          <w:sz w:val="22"/>
          <w:szCs w:val="22"/>
        </w:rPr>
        <w:t xml:space="preserve">Section 5 — Améliorations architecturales proposées</w:t>
      </w:r>
    </w:p>
    <w:p>
      <w:pPr>
        <w:pStyle w:val="ListParagraph"/>
        <w:numPr>
          <w:ilvl w:val="0"/>
          <w:numId w:val="1"/>
        </w:numPr>
        <w:spacing w:before="60" w:after="60"/>
      </w:pPr>
      <w:r>
        <w:rPr>
          <w:b w:val="false"/>
          <w:bCs w:val="false"/>
          <w:sz w:val="22"/>
          <w:szCs w:val="22"/>
        </w:rPr>
        <w:t xml:space="preserve">Section 6 — Plan de corrections priorisé</w:t>
      </w:r>
    </w:p>
    <w:p>
      <w:r>
        <w:br w:type="page"/>
      </w:r>
    </w:p>
    <w:p>
      <w:pPr>
        <w:pStyle w:val="Heading1"/>
        <w:spacing w:before="400" w:after="200"/>
      </w:pPr>
      <w:r>
        <w:rPr>
          <w:b/>
          <w:bCs/>
          <w:color w:val="1A252F"/>
          <w:sz w:val="36"/>
          <w:szCs w:val="36"/>
        </w:rPr>
        <w:t xml:space="preserve">Section 1 — Corrections urgentes (bugs bloquants)</w:t>
      </w:r>
    </w:p>
    <w:p>
      <w:pPr>
        <w:spacing w:before="100" w:after="140"/>
        <w:jc w:val="both"/>
      </w:pPr>
      <w:r>
        <w:rPr>
          <w:sz w:val="22"/>
          <w:szCs w:val="22"/>
        </w:rPr>
        <w:t xml:space="preserve">Ces bugs provoquent des comportements silencieux : le code compile, l'application démarre, mais les fonctionnalités centrales ne fonctionnent jamais correctement en production.</w:t>
      </w:r>
    </w:p>
    <w:p>
      <w:pPr>
        <w:spacing w:before="0" w:after="120"/>
      </w:pPr>
    </w:p>
    <w:p>
      <w:pPr>
        <w:pStyle w:val="Heading2"/>
        <w:spacing w:before="320" w:after="160"/>
      </w:pPr>
      <w:r>
        <w:rPr>
          <w:b/>
          <w:bCs/>
          <w:color w:val="154360"/>
          <w:sz w:val="28"/>
          <w:szCs w:val="28"/>
        </w:rPr>
        <w:t xml:space="preserve">1.1 — Modèle LogNotification : champs push_token et details_echec manquants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80"/>
              <w:left w:type="dxa" w:w="240"/>
              <w:bottom w:type="dxa" w:w="180"/>
              <w:right w:type="dxa" w:w="240"/>
            </w:tcMar>
          </w:tcPr>
          <w:p>
            <w:r>
              <w:rPr>
                <w:b/>
                <w:bCs/>
                <w:color w:val="FFFFFF"/>
                <w:sz w:val="22"/>
                <w:szCs w:val="22"/>
              </w:rPr>
              <w:t xml:space="preserve">IMPACT : Les statuts de notifications restent définitivement à 'en_attente'. Les statistiques d'alertes sont inutilisables.</w:t>
            </w:r>
          </w:p>
        </w:tc>
      </w:tr>
    </w:tbl>
    <w:p>
      <w:pPr>
        <w:spacing w:before="0" w:after="120"/>
      </w:pPr>
    </w:p>
    <w:p>
      <w:pPr>
        <w:spacing w:before="100" w:after="140"/>
        <w:jc w:val="both"/>
      </w:pPr>
      <w:r>
        <w:rPr>
          <w:sz w:val="22"/>
          <w:szCs w:val="22"/>
        </w:rPr>
        <w:t xml:space="preserve">Le worker BullMQ (notification.queue.js) insère des entrées LogNotification avec les champs push_token et details_echec. Ces champs n'existent pas dans le modèle log_notification.model.js. Sequelize les ignore silencieusement à l'insertion. Les requêtes UPDATE WHERE push_token = '...' ne trouvent jamais de lignes.</w:t>
      </w:r>
    </w:p>
    <w:p>
      <w:pPr>
        <w:spacing w:before="0" w:after="120"/>
      </w:pPr>
    </w:p>
    <w:p>
      <w:pPr>
        <w:pStyle w:val="Heading3"/>
        <w:spacing w:before="240" w:after="120"/>
      </w:pPr>
      <w:r>
        <w:rPr>
          <w:b/>
          <w:bCs/>
          <w:color w:val="1A5276"/>
          <w:sz w:val="24"/>
          <w:szCs w:val="24"/>
        </w:rPr>
        <w:t xml:space="preserve">Correction à appliquer dans log_notification.model.js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52F" w:val="clear"/>
            <w:tcMar>
              <w:top w:type="dxa" w:w="180"/>
              <w:left w:type="dxa" w:w="240"/>
              <w:bottom w:type="dxa" w:w="180"/>
              <w:right w:type="dxa" w:w="240"/>
            </w:tcMar>
          </w:tcPr>
          <w:p>
            <w:r>
              <w:rPr>
                <w:b/>
                <w:bCs/>
                <w:color w:val="FFFFFF"/>
                <w:sz w:val="22"/>
                <w:szCs w:val="22"/>
              </w:rPr>
              <w:t xml:space="preserve">push_token: { type: DataTypes.TEXT, allowNull: true },
details_echec: { type: DataTypes.TEXT, allowNull: true },
push_ticket_id: { type: DataTypes.STRING(100), allowNull: true },</w:t>
            </w:r>
          </w:p>
        </w:tc>
      </w:tr>
    </w:tbl>
    <w:p>
      <w:pPr>
        <w:spacing w:before="0" w:after="120"/>
      </w:pPr>
    </w:p>
    <w:p>
      <w:pPr>
        <w:spacing w:before="100" w:after="140"/>
        <w:jc w:val="both"/>
      </w:pPr>
      <w:r>
        <w:rPr>
          <w:sz w:val="22"/>
          <w:szCs w:val="22"/>
        </w:rPr>
        <w:t xml:space="preserve">Après correction du modèle, créer une migration Sequelize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52F" w:val="clear"/>
            <w:tcMar>
              <w:top w:type="dxa" w:w="180"/>
              <w:left w:type="dxa" w:w="240"/>
              <w:bottom w:type="dxa" w:w="180"/>
              <w:right w:type="dxa" w:w="240"/>
            </w:tcMar>
          </w:tcPr>
          <w:p>
            <w:r>
              <w:rPr>
                <w:b/>
                <w:bCs/>
                <w:color w:val="FFFFFF"/>
                <w:sz w:val="22"/>
                <w:szCs w:val="22"/>
              </w:rPr>
              <w:t xml:space="preserve">npx sequelize-cli migration:generate --name add-push-fields-to-log-notification
// Dans le fichier de migration généré :
await queryInterface.addColumn('Notifications_Log', 'push_token', {
  type: Sequelize.TEXT, allowNull: true
});
await queryInterface.addColumn('Notifications_Log', 'details_echec', {
  type: Sequelize.TEXT, allowNull: true
});</w:t>
            </w:r>
          </w:p>
        </w:tc>
      </w:tr>
    </w:tbl>
    <w:p>
      <w:pPr>
        <w:spacing w:before="0" w:after="240"/>
      </w:pPr>
    </w:p>
    <w:p>
      <w:pPr>
        <w:pStyle w:val="Heading2"/>
        <w:spacing w:before="320" w:after="160"/>
      </w:pPr>
      <w:r>
        <w:rPr>
          <w:b/>
          <w:bCs/>
          <w:color w:val="154360"/>
          <w:sz w:val="28"/>
          <w:szCs w:val="28"/>
        </w:rPr>
        <w:t xml:space="preserve">1.2 — Modèle Alerte : id_centre et id_initiateur non déclarés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80"/>
              <w:left w:type="dxa" w:w="240"/>
              <w:bottom w:type="dxa" w:w="180"/>
              <w:right w:type="dxa" w:w="240"/>
            </w:tcMar>
          </w:tcPr>
          <w:p>
            <w:r>
              <w:rPr>
                <w:b/>
                <w:bCs/>
                <w:color w:val="FFFFFF"/>
                <w:sz w:val="22"/>
                <w:szCs w:val="22"/>
              </w:rPr>
              <w:t xml:space="preserve">IMPACT : Les stats du dashboard centre affichent toujours 0 pour les alertes actives.</w:t>
            </w:r>
          </w:p>
        </w:tc>
      </w:tr>
    </w:tbl>
    <w:p>
      <w:pPr>
        <w:spacing w:before="0" w:after="120"/>
      </w:pPr>
    </w:p>
    <w:p>
      <w:pPr>
        <w:spacing w:before="100" w:after="140"/>
        <w:jc w:val="both"/>
      </w:pPr>
      <w:r>
        <w:rPr>
          <w:sz w:val="22"/>
          <w:szCs w:val="22"/>
        </w:rPr>
        <w:t xml:space="preserve">alerte.model.js définit uniquement les champs métier. Les clés étrangères id_centre et id_initiateur n'y sont pas déclarées — elles sont uniquement générées par les associations belongsTo. Sequelize les crée en base, mais sans contrôle explicite ni contrainte déclarée dans le modèle.</w:t>
      </w:r>
    </w:p>
    <w:p>
      <w:pPr>
        <w:spacing w:before="0" w:after="120"/>
      </w:pPr>
    </w:p>
    <w:p>
      <w:pPr>
        <w:pStyle w:val="Heading3"/>
        <w:spacing w:before="240" w:after="120"/>
      </w:pPr>
      <w:r>
        <w:rPr>
          <w:b/>
          <w:bCs/>
          <w:color w:val="1A5276"/>
          <w:sz w:val="24"/>
          <w:szCs w:val="24"/>
        </w:rPr>
        <w:t xml:space="preserve">Ajouter dans la section fields de alerte.model.js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52F" w:val="clear"/>
            <w:tcMar>
              <w:top w:type="dxa" w:w="180"/>
              <w:left w:type="dxa" w:w="240"/>
              <w:bottom w:type="dxa" w:w="180"/>
              <w:right w:type="dxa" w:w="240"/>
            </w:tcMar>
          </w:tcPr>
          <w:p>
            <w:r>
              <w:rPr>
                <w:b/>
                <w:bCs/>
                <w:color w:val="FFFFFF"/>
                <w:sz w:val="22"/>
                <w:szCs w:val="22"/>
              </w:rPr>
              <w:t xml:space="preserve">id_initiateur: {
  type: DataTypes.INTEGER,
  allowNull: false,
  references: { model: 'Utilisateurs', key: 'id_utilisateur' }
},
id_centre: {
  type: DataTypes.INTEGER,
  allowNull: true,
  references: { model: 'Centres_Sante', key: 'id_centre' }
},</w:t>
            </w:r>
          </w:p>
        </w:tc>
      </w:tr>
    </w:tbl>
    <w:p>
      <w:pPr>
        <w:spacing w:before="0" w:after="240"/>
      </w:pPr>
    </w:p>
    <w:p>
      <w:pPr>
        <w:pStyle w:val="Heading2"/>
        <w:spacing w:before="320" w:after="160"/>
      </w:pPr>
      <w:r>
        <w:rPr>
          <w:b/>
          <w:bCs/>
          <w:color w:val="154360"/>
          <w:sz w:val="28"/>
          <w:szCs w:val="28"/>
        </w:rPr>
        <w:t xml:space="preserve">1.3 — Modèle ProfilDonneur : champ disponible absent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80"/>
              <w:left w:type="dxa" w:w="240"/>
              <w:bottom w:type="dxa" w:w="180"/>
              <w:right w:type="dxa" w:w="240"/>
            </w:tcMar>
          </w:tcPr>
          <w:p>
            <w:r>
              <w:rPr>
                <w:b/>
                <w:bCs/>
                <w:color w:val="FFFFFF"/>
                <w:sz w:val="22"/>
                <w:szCs w:val="22"/>
              </w:rPr>
              <w:t xml:space="preserve">IMPACT : Un donneur malade ou indisponible reçoit quand même les alertes SOS. Problème fonctionnel grave pour un système médical.</w:t>
            </w:r>
          </w:p>
        </w:tc>
      </w:tr>
    </w:tbl>
    <w:p>
      <w:pPr>
        <w:spacing w:before="0" w:after="120"/>
      </w:pPr>
    </w:p>
    <w:p>
      <w:pPr>
        <w:spacing w:before="100" w:after="140"/>
        <w:jc w:val="both"/>
      </w:pPr>
      <w:r>
        <w:rPr>
          <w:sz w:val="22"/>
          <w:szCs w:val="22"/>
        </w:rPr>
        <w:t xml:space="preserve">getUserProfile retourne disponible: user.profilDonneur?.disponible ?? true, mais ce champ n'existe pas dans le modèle. La valeur est donc toujours true. La recherche de donneurs dans notification.queue.js et searchUsers ne filtre pas sur la disponibilité.</w:t>
      </w:r>
    </w:p>
    <w:p>
      <w:pPr>
        <w:spacing w:before="0" w:after="120"/>
      </w:pPr>
    </w:p>
    <w:p>
      <w:pPr>
        <w:pStyle w:val="Heading3"/>
        <w:spacing w:before="240" w:after="120"/>
      </w:pPr>
      <w:r>
        <w:rPr>
          <w:b/>
          <w:bCs/>
          <w:color w:val="1A5276"/>
          <w:sz w:val="24"/>
          <w:szCs w:val="24"/>
        </w:rPr>
        <w:t xml:space="preserve">Ajouter dans profil_donneur.model.js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52F" w:val="clear"/>
            <w:tcMar>
              <w:top w:type="dxa" w:w="180"/>
              <w:left w:type="dxa" w:w="240"/>
              <w:bottom w:type="dxa" w:w="180"/>
              <w:right w:type="dxa" w:w="240"/>
            </w:tcMar>
          </w:tcPr>
          <w:p>
            <w:r>
              <w:rPr>
                <w:b/>
                <w:bCs/>
                <w:color w:val="FFFFFF"/>
                <w:sz w:val="22"/>
                <w:szCs w:val="22"/>
              </w:rPr>
              <w:t xml:space="preserve">disponible: {
  type: DataTypes.BOOLEAN,
  defaultValue: true,
  comment: 'Indique si le donneur accepte de recevoir des alertes'
},
raison_indisponibilite: {
  type: DataTypes.STRING(100),
  allowNull: true,
  comment: 'Maladie, voyage, allaitement, etc.'
},
date_disponibilite: {
  type: DataTypes.DATEONLY,
  allowNull: true,
  comment: 'Date de retour en disponibilité'
},</w:t>
            </w:r>
          </w:p>
        </w:tc>
      </w:tr>
    </w:tbl>
    <w:p>
      <w:pPr>
        <w:spacing w:before="0" w:after="120"/>
      </w:pPr>
    </w:p>
    <w:p>
      <w:pPr>
        <w:spacing w:before="100" w:after="140"/>
        <w:jc w:val="both"/>
      </w:pPr>
      <w:r>
        <w:rPr>
          <w:sz w:val="22"/>
          <w:szCs w:val="22"/>
        </w:rPr>
        <w:t xml:space="preserve">Ajouter le filtre dans le worker notification.queue.js et dans searchUsers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52F" w:val="clear"/>
            <w:tcMar>
              <w:top w:type="dxa" w:w="180"/>
              <w:left w:type="dxa" w:w="240"/>
              <w:bottom w:type="dxa" w:w="180"/>
              <w:right w:type="dxa" w:w="240"/>
            </w:tcMar>
          </w:tcPr>
          <w:p>
            <w:r>
              <w:rPr>
                <w:b/>
                <w:bCs/>
                <w:color w:val="FFFFFF"/>
                <w:sz w:val="22"/>
                <w:szCs w:val="22"/>
              </w:rPr>
              <w:t xml:space="preserve">// Dans le WHERE de la recherche de donneurs :
where: {
  groupe_sanguin: compatibleGroups,
  disponible: true,  // ← AJOUTER CE FILTRE
  [db.Sequelize.Op.and]: db.sequelize.where(...haversine..., '&lt;=', rayon)
}</w:t>
            </w:r>
          </w:p>
        </w:tc>
      </w:tr>
    </w:tbl>
    <w:p>
      <w:pPr>
        <w:spacing w:before="0" w:after="240"/>
      </w:pPr>
    </w:p>
    <w:p>
      <w:pPr>
        <w:pStyle w:val="Heading2"/>
        <w:spacing w:before="320" w:after="160"/>
      </w:pPr>
      <w:r>
        <w:rPr>
          <w:b/>
          <w:bCs/>
          <w:color w:val="154360"/>
          <w:sz w:val="28"/>
          <w:szCs w:val="28"/>
        </w:rPr>
        <w:t xml:space="preserve">1.4 — Route POST /api/alerts sans verifyToken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80"/>
              <w:left w:type="dxa" w:w="240"/>
              <w:bottom w:type="dxa" w:w="180"/>
              <w:right w:type="dxa" w:w="240"/>
            </w:tcMar>
          </w:tcPr>
          <w:p>
            <w:r>
              <w:rPr>
                <w:b/>
                <w:bCs/>
                <w:color w:val="FFFFFF"/>
                <w:sz w:val="22"/>
                <w:szCs w:val="22"/>
              </w:rPr>
              <w:t xml:space="preserve">IMPACT : N'importe qui peut créer des fausses alertes SOS sans compte. Risque de spam massif et notification de milliers de donneurs.</w:t>
            </w:r>
          </w:p>
        </w:tc>
      </w:tr>
    </w:tbl>
    <w:p>
      <w:pPr>
        <w:spacing w:before="0" w:after="120"/>
      </w:pPr>
    </w:p>
    <w:p>
      <w:pPr>
        <w:spacing w:before="100" w:after="140"/>
        <w:jc w:val="both"/>
      </w:pPr>
      <w:r>
        <w:rPr>
          <w:sz w:val="22"/>
          <w:szCs w:val="22"/>
        </w:rPr>
        <w:t xml:space="preserve">alerts.routes.js définit : router.post('/', validateRequest(schemas.createAlert), alertsController.createAlert) — sans verifyToken. C'est la seule route POST sans authentification dans tout le projet.</w:t>
      </w:r>
    </w:p>
    <w:p>
      <w:pPr>
        <w:spacing w:before="0" w:after="120"/>
      </w:pPr>
    </w:p>
    <w:p>
      <w:pPr>
        <w:pStyle w:val="Heading3"/>
        <w:spacing w:before="240" w:after="120"/>
      </w:pPr>
      <w:r>
        <w:rPr>
          <w:b/>
          <w:bCs/>
          <w:color w:val="1A5276"/>
          <w:sz w:val="24"/>
          <w:szCs w:val="24"/>
        </w:rPr>
        <w:t xml:space="preserve">Correction : deux options selon le flux choisi</w:t>
      </w:r>
    </w:p>
    <w:p>
      <w:pPr>
        <w:spacing w:before="100" w:after="140"/>
        <w:jc w:val="both"/>
      </w:pPr>
      <w:r>
        <w:rPr>
          <w:sz w:val="22"/>
          <w:szCs w:val="22"/>
        </w:rPr>
        <w:t xml:space="preserve">Option A — Alerte réservée aux utilisateurs connectés (sécurisé)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52F" w:val="clear"/>
            <w:tcMar>
              <w:top w:type="dxa" w:w="180"/>
              <w:left w:type="dxa" w:w="240"/>
              <w:bottom w:type="dxa" w:w="180"/>
              <w:right w:type="dxa" w:w="240"/>
            </w:tcMar>
          </w:tcPr>
          <w:p>
            <w:r>
              <w:rPr>
                <w:b/>
                <w:bCs/>
                <w:color w:val="FFFFFF"/>
                <w:sz w:val="22"/>
                <w:szCs w:val="22"/>
              </w:rPr>
              <w:t xml:space="preserve">router.post('/', verifyToken, validateRequest(schemas.createAlert), alertsController.createAlert);</w:t>
            </w:r>
          </w:p>
        </w:tc>
      </w:tr>
    </w:tbl>
    <w:p>
      <w:pPr>
        <w:spacing w:before="0" w:after="120"/>
      </w:pPr>
    </w:p>
    <w:p>
      <w:pPr>
        <w:spacing w:before="100" w:after="140"/>
        <w:jc w:val="both"/>
      </w:pPr>
      <w:r>
        <w:rPr>
          <w:sz w:val="22"/>
          <w:szCs w:val="22"/>
        </w:rPr>
        <w:t xml:space="preserve">Option B — Alerte possible en mode invité avec token temporaire (recommandé, voir Section 4.3)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52F" w:val="clear"/>
            <w:tcMar>
              <w:top w:type="dxa" w:w="180"/>
              <w:left w:type="dxa" w:w="240"/>
              <w:bottom w:type="dxa" w:w="180"/>
              <w:right w:type="dxa" w:w="240"/>
            </w:tcMar>
          </w:tcPr>
          <w:p>
            <w:r>
              <w:rPr>
                <w:b/>
                <w:bCs/>
                <w:color w:val="FFFFFF"/>
                <w:sz w:val="22"/>
                <w:szCs w:val="22"/>
              </w:rPr>
              <w:t xml:space="preserve">router.post('/', optionalAuth, validateRequest(schemas.createAlert), alertsController.createAlert);
// Dans createAlert :
const id_initiateur = req.user ? req.user.id : null;
const temp_token = !req.user ? generateTempToken() : null;
// Renvoyer temp_token pour permettre le suivi post-inscription</w:t>
            </w:r>
          </w:p>
        </w:tc>
      </w:tr>
    </w:tbl>
    <w:p>
      <w:pPr>
        <w:spacing w:before="0" w:after="240"/>
      </w:pPr>
    </w:p>
    <w:p>
      <w:pPr>
        <w:pStyle w:val="Heading2"/>
        <w:spacing w:before="320" w:after="160"/>
      </w:pPr>
      <w:r>
        <w:rPr>
          <w:b/>
          <w:bCs/>
          <w:color w:val="154360"/>
          <w:sz w:val="28"/>
          <w:szCs w:val="28"/>
        </w:rPr>
        <w:t xml:space="preserve">1.5 — requireRole('admin') bloque le personnel hospitalier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80"/>
              <w:left w:type="dxa" w:w="240"/>
              <w:bottom w:type="dxa" w:w="180"/>
              <w:right w:type="dxa" w:w="240"/>
            </w:tcMar>
          </w:tcPr>
          <w:p>
            <w:r>
              <w:rPr>
                <w:b/>
                <w:bCs/>
                <w:color w:val="FFFFFF"/>
                <w:sz w:val="22"/>
                <w:szCs w:val="22"/>
              </w:rPr>
              <w:t xml:space="preserve">IMPACT : Les personnels de centres (rôle 'personnel') ne peuvent pas valider d'alertes depuis le dashboard. Le flux central de l'application est brisé.</w:t>
            </w:r>
          </w:p>
        </w:tc>
      </w:tr>
    </w:tbl>
    <w:p>
      <w:pPr>
        <w:spacing w:before="0" w:after="120"/>
      </w:pPr>
    </w:p>
    <w:p>
      <w:pPr>
        <w:spacing w:before="100" w:after="140"/>
        <w:jc w:val="both"/>
      </w:pPr>
      <w:r>
        <w:rPr>
          <w:sz w:val="22"/>
          <w:szCs w:val="22"/>
        </w:rPr>
        <w:t xml:space="preserve">alerts.routes.js ligne validate : router.post('/:id/validate', requireRole('admin'), ...). Or le dashboard desktop-centre est utilisé par des utilisateurs de rôle 'personnel'. Ils voient le bouton 'Valider', cliquent dessus, et reçoivent un 403.</w:t>
      </w:r>
    </w:p>
    <w:p>
      <w:pPr>
        <w:spacing w:before="0" w:after="120"/>
      </w:pPr>
    </w:p>
    <w:p>
      <w:pPr>
        <w:pStyle w:val="Heading3"/>
        <w:spacing w:before="240" w:after="120"/>
      </w:pPr>
      <w:r>
        <w:rPr>
          <w:b/>
          <w:bCs/>
          <w:color w:val="1A5276"/>
          <w:sz w:val="24"/>
          <w:szCs w:val="24"/>
        </w:rPr>
        <w:t xml:space="preserve">Correction dans alerts.routes.js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52F" w:val="clear"/>
            <w:tcMar>
              <w:top w:type="dxa" w:w="180"/>
              <w:left w:type="dxa" w:w="240"/>
              <w:bottom w:type="dxa" w:w="180"/>
              <w:right w:type="dxa" w:w="240"/>
            </w:tcMar>
          </w:tcPr>
          <w:p>
            <w:r>
              <w:rPr>
                <w:b/>
                <w:bCs/>
                <w:color w:val="FFFFFF"/>
                <w:sz w:val="22"/>
                <w:szCs w:val="22"/>
              </w:rPr>
              <w:t xml:space="preserve">// Avant (cassé) :
router.post('/:id/validate', requireRole('admin'), alertsController.validateAndNotifyAlert);
// Après (correct) :
router.post('/:id/validate', requireRole(['admin', 'personnel']), alertsController.validateAndNotifyAlert);</w:t>
            </w:r>
          </w:p>
        </w:tc>
      </w:tr>
    </w:tbl>
    <w:p>
      <w:pPr>
        <w:spacing w:before="0" w:after="240"/>
      </w:pPr>
    </w:p>
    <w:p>
      <w:pPr>
        <w:pStyle w:val="Heading2"/>
        <w:spacing w:before="320" w:after="160"/>
      </w:pPr>
      <w:r>
        <w:rPr>
          <w:b/>
          <w:bCs/>
          <w:color w:val="154360"/>
          <w:sz w:val="28"/>
          <w:szCs w:val="28"/>
        </w:rPr>
        <w:t xml:space="preserve">1.6 — Statuts d'alertes incohérents entre les couches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80"/>
              <w:left w:type="dxa" w:w="240"/>
              <w:bottom w:type="dxa" w:w="180"/>
              <w:right w:type="dxa" w:w="240"/>
            </w:tcMar>
          </w:tcPr>
          <w:p>
            <w:r>
              <w:rPr>
                <w:b/>
                <w:bCs/>
                <w:color w:val="FFFFFF"/>
                <w:sz w:val="22"/>
                <w:szCs w:val="22"/>
              </w:rPr>
              <w:t xml:space="preserve">IMPACT : updateAlert avec statut 'satisfaite' ou 'annulee' déclenche une erreur Sequelize ENUM en production.</w:t>
            </w:r>
          </w:p>
        </w:tc>
      </w:tr>
    </w:tbl>
    <w:p>
      <w:pPr>
        <w:spacing w:before="0" w:after="120"/>
      </w:pPr>
    </w:p>
    <w:p>
      <w:pPr>
        <w:spacing w:before="100" w:after="140"/>
        <w:jc w:val="both"/>
      </w:pPr>
      <w:r>
        <w:rPr>
          <w:sz w:val="22"/>
          <w:szCs w:val="22"/>
        </w:rPr>
        <w:t xml:space="preserve">Le modèle Alerte déclare l'ENUM : en_attente_validation, en_cours, resolu, annule. Le schéma Joi updateAlert accepte : en_cours, satisfaite, annulee — deux valeurs inexistantes. Le contrôleur deleteAlert écrit alerte.statut = 'annulee' au lieu de 'annule'.</w:t>
      </w:r>
    </w:p>
    <w:p>
      <w:pPr>
        <w:spacing w:before="0" w:after="120"/>
      </w:pPr>
    </w:p>
    <w:p>
      <w:pPr>
        <w:pStyle w:val="Heading3"/>
        <w:spacing w:before="240" w:after="120"/>
      </w:pPr>
      <w:r>
        <w:rPr>
          <w:b/>
          <w:bCs/>
          <w:color w:val="1A5276"/>
          <w:sz w:val="24"/>
          <w:szCs w:val="24"/>
        </w:rPr>
        <w:t xml:space="preserve">Corrections dans validation/schemas.js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52F" w:val="clear"/>
            <w:tcMar>
              <w:top w:type="dxa" w:w="180"/>
              <w:left w:type="dxa" w:w="240"/>
              <w:bottom w:type="dxa" w:w="180"/>
              <w:right w:type="dxa" w:w="240"/>
            </w:tcMar>
          </w:tcPr>
          <w:p>
            <w:r>
              <w:rPr>
                <w:b/>
                <w:bCs/>
                <w:color w:val="FFFFFF"/>
                <w:sz w:val="22"/>
                <w:szCs w:val="22"/>
              </w:rPr>
              <w:t xml:space="preserve">// Avant :
updateAlert: Joi.object({
  statut: Joi.string().valid('en_cours', 'satisfaite', 'annulee').required()
})
// Après :
updateAlert: Joi.object({
  statut: Joi.string().valid(
    'en_attente_validation', 'en_cours', 'resolu', 'annule'
  ).required()
})</w:t>
            </w:r>
          </w:p>
        </w:tc>
      </w:tr>
    </w:tbl>
    <w:p>
      <w:pPr>
        <w:spacing w:before="0" w:after="120"/>
      </w:pPr>
    </w:p>
    <w:p>
      <w:pPr>
        <w:pStyle w:val="Heading3"/>
        <w:spacing w:before="240" w:after="120"/>
      </w:pPr>
      <w:r>
        <w:rPr>
          <w:b/>
          <w:bCs/>
          <w:color w:val="1A5276"/>
          <w:sz w:val="24"/>
          <w:szCs w:val="24"/>
        </w:rPr>
        <w:t xml:space="preserve">Correction dans alerts.controller.js (deleteAlert)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52F" w:val="clear"/>
            <w:tcMar>
              <w:top w:type="dxa" w:w="180"/>
              <w:left w:type="dxa" w:w="240"/>
              <w:bottom w:type="dxa" w:w="180"/>
              <w:right w:type="dxa" w:w="240"/>
            </w:tcMar>
          </w:tcPr>
          <w:p>
            <w:r>
              <w:rPr>
                <w:b/>
                <w:bCs/>
                <w:color w:val="FFFFFF"/>
                <w:sz w:val="22"/>
                <w:szCs w:val="22"/>
              </w:rPr>
              <w:t xml:space="preserve">// Avant :
alerte.statut = 'annulee';
// Après :
alerte.statut = 'annule';</w:t>
            </w:r>
          </w:p>
        </w:tc>
      </w:tr>
    </w:tbl>
    <w:p>
      <w:pPr>
        <w:spacing w:before="0" w:after="240"/>
      </w:pPr>
    </w:p>
    <w:p>
      <w:pPr>
        <w:pStyle w:val="Heading2"/>
        <w:spacing w:before="320" w:after="160"/>
      </w:pPr>
      <w:r>
        <w:rPr>
          <w:b/>
          <w:bCs/>
          <w:color w:val="154360"/>
          <w:sz w:val="28"/>
          <w:szCs w:val="28"/>
        </w:rPr>
        <w:t xml:space="preserve">1.7 — HistoriqueDon jamais créé automatiquement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80"/>
              <w:left w:type="dxa" w:w="240"/>
              <w:bottom w:type="dxa" w:w="180"/>
              <w:right w:type="dxa" w:w="240"/>
            </w:tcMar>
          </w:tcPr>
          <w:p>
            <w:r>
              <w:rPr>
                <w:b/>
                <w:bCs/>
                <w:color w:val="FFFFFF"/>
                <w:sz w:val="22"/>
                <w:szCs w:val="22"/>
              </w:rPr>
              <w:t xml:space="preserve">IMPACT : getUserHistory retourne toujours un tableau vide. La stat 'Vies sauvées' est définitivement à 0 sur l'écran d'accueil.</w:t>
            </w:r>
          </w:p>
        </w:tc>
      </w:tr>
    </w:tbl>
    <w:p>
      <w:pPr>
        <w:spacing w:before="0" w:after="120"/>
      </w:pPr>
    </w:p>
    <w:p>
      <w:pPr>
        <w:spacing w:before="100" w:after="140"/>
        <w:jc w:val="both"/>
      </w:pPr>
      <w:r>
        <w:rPr>
          <w:sz w:val="22"/>
          <w:szCs w:val="22"/>
        </w:rPr>
        <w:t xml:space="preserve">Le diagramme d'états-transitions du rapport spécifie que le passage d'un RendezVous au statut 'valide' déclenche la création d'un HistoriqueDon. Dans le code, updateRendezVousStatut ne fait que rdv.statut_rdv = statut_rdv; await rdv.save() — aucune création d'historique.</w:t>
      </w:r>
    </w:p>
    <w:p>
      <w:pPr>
        <w:spacing w:before="0" w:after="120"/>
      </w:pPr>
    </w:p>
    <w:p>
      <w:pPr>
        <w:pStyle w:val="Heading3"/>
        <w:spacing w:before="240" w:after="120"/>
      </w:pPr>
      <w:r>
        <w:rPr>
          <w:b/>
          <w:bCs/>
          <w:color w:val="1A5276"/>
          <w:sz w:val="24"/>
          <w:szCs w:val="24"/>
        </w:rPr>
        <w:t xml:space="preserve">Correction dans centres.controller.js (updateRendezVousStatut)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52F" w:val="clear"/>
            <w:tcMar>
              <w:top w:type="dxa" w:w="180"/>
              <w:left w:type="dxa" w:w="240"/>
              <w:bottom w:type="dxa" w:w="180"/>
              <w:right w:type="dxa" w:w="240"/>
            </w:tcMar>
          </w:tcPr>
          <w:p>
            <w:r>
              <w:rPr>
                <w:b/>
                <w:bCs/>
                <w:color w:val="FFFFFF"/>
                <w:sz w:val="22"/>
                <w:szCs w:val="22"/>
              </w:rPr>
              <w:t xml:space="preserve">if (statut_rdv === 'valide' || statut_rdv === 'effectue') {
  await db.HistoriqueDon.create({
    id_donneur: rdv.id_donneur,
    id_centre: parseInt(id),
    id_type_don: rdv.id_type_don || 1,
    date_don: new Date(),
    statut_don: 'réussi'
  });
  // Mettre à jour prochain_don_possible dans ProfilDonneur
  const profil = await db.ProfilDonneur.findByPk(rdv.id_donneur);
  if (profil) {
    profil.dernier_don = new Date();
    const delai = (await db.TypeDon.findByPk(rdv.id_type_don))?.delai_attente_jours || 56;
    const prochainDon = new Date();
    prochainDon.setDate(prochainDon.getDate() + delai);
    profil.prochain_don_possible = prochainDon;
    await profil.save();
  }
}</w:t>
            </w:r>
          </w:p>
        </w:tc>
      </w:tr>
    </w:tbl>
    <w:p>
      <w:pPr>
        <w:spacing w:before="0" w:after="240"/>
      </w:pPr>
    </w:p>
    <w:p>
      <w:pPr>
        <w:pStyle w:val="Heading2"/>
        <w:spacing w:before="320" w:after="160"/>
      </w:pPr>
      <w:r>
        <w:rPr>
          <w:b/>
          <w:bCs/>
          <w:color w:val="154360"/>
          <w:sz w:val="28"/>
          <w:szCs w:val="28"/>
        </w:rPr>
        <w:t xml:space="preserve">1.8 — Route rendez-vous inexistante dans le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7E22" w:val="clear"/>
            <w:tcMar>
              <w:top w:type="dxa" w:w="180"/>
              <w:left w:type="dxa" w:w="240"/>
              <w:bottom w:type="dxa" w:w="180"/>
              <w:right w:type="dxa" w:w="240"/>
            </w:tcMar>
          </w:tcPr>
          <w:p>
            <w:r>
              <w:rPr>
                <w:b/>
                <w:bCs/>
                <w:color w:val="FFFFFF"/>
                <w:sz w:val="22"/>
                <w:szCs w:val="22"/>
              </w:rPr>
              <w:t xml:space="preserve">IMPACT : La page Appointments du dashboard retourne une 404. Les rendez-vous ne s'affichent jamais.</w:t>
            </w:r>
          </w:p>
        </w:tc>
      </w:tr>
    </w:tbl>
    <w:p>
      <w:pPr>
        <w:spacing w:before="0" w:after="120"/>
      </w:pPr>
    </w:p>
    <w:p>
      <w:pPr>
        <w:spacing w:before="100" w:after="140"/>
        <w:jc w:val="both"/>
      </w:pPr>
      <w:r>
        <w:rPr>
          <w:sz w:val="22"/>
          <w:szCs w:val="22"/>
        </w:rPr>
        <w:t xml:space="preserve">desktop-centre/src/pages/Appointments.tsx fait : api.get('/rendezvous/centre/${user.centre.id_centre}'). Cette route n'existe pas dans rendezvous.routes.js. La route correcte, définie dans centres.routes.js, est : GET /:id/appointments.</w:t>
      </w:r>
    </w:p>
    <w:p>
      <w:pPr>
        <w:spacing w:before="0" w:after="120"/>
      </w:pPr>
    </w:p>
    <w:p>
      <w:pPr>
        <w:pStyle w:val="Heading3"/>
        <w:spacing w:before="240" w:after="120"/>
      </w:pPr>
      <w:r>
        <w:rPr>
          <w:b/>
          <w:bCs/>
          <w:color w:val="1A5276"/>
          <w:sz w:val="24"/>
          <w:szCs w:val="24"/>
        </w:rPr>
        <w:t xml:space="preserve">Correction dans Appointments.tsx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52F" w:val="clear"/>
            <w:tcMar>
              <w:top w:type="dxa" w:w="180"/>
              <w:left w:type="dxa" w:w="240"/>
              <w:bottom w:type="dxa" w:w="180"/>
              <w:right w:type="dxa" w:w="240"/>
            </w:tcMar>
          </w:tcPr>
          <w:p>
            <w:r>
              <w:rPr>
                <w:b/>
                <w:bCs/>
                <w:color w:val="FFFFFF"/>
                <w:sz w:val="22"/>
                <w:szCs w:val="22"/>
              </w:rPr>
              <w:t xml:space="preserve">// Avant :
const response = await api.get(`/rendezvous/centre/${user.centre.id_centre}`);
// Après :
const centreId = user?.centre?.id_centre || user?.centre?.id;
const response = await api.get(`/centres/${centreId}/appointments`);</w:t>
            </w:r>
          </w:p>
        </w:tc>
      </w:tr>
    </w:tbl>
    <w:p>
      <w:pPr>
        <w:spacing w:before="0" w:after="240"/>
      </w:pPr>
    </w:p>
    <w:p>
      <w:pPr>
        <w:pStyle w:val="Heading2"/>
        <w:spacing w:before="320" w:after="160"/>
      </w:pPr>
      <w:r>
        <w:rPr>
          <w:b/>
          <w:bCs/>
          <w:color w:val="154360"/>
          <w:sz w:val="28"/>
          <w:szCs w:val="28"/>
        </w:rPr>
        <w:t xml:space="preserve">1.9 — Format téléphone incohérent dans tout le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7E22" w:val="clear"/>
            <w:tcMar>
              <w:top w:type="dxa" w:w="180"/>
              <w:left w:type="dxa" w:w="240"/>
              <w:bottom w:type="dxa" w:w="180"/>
              <w:right w:type="dxa" w:w="240"/>
            </w:tcMar>
          </w:tcPr>
          <w:p>
            <w:r>
              <w:rPr>
                <w:b/>
                <w:bCs/>
                <w:color w:val="FFFFFF"/>
                <w:sz w:val="22"/>
                <w:szCs w:val="22"/>
              </w:rPr>
              <w:t xml:space="preserve">IMPACT : Les utilisateurs qui saisissent +237651234567 sont rejetés par la validation. L'inscription est impossible.</w:t>
            </w:r>
          </w:p>
        </w:tc>
      </w:tr>
    </w:tbl>
    <w:p>
      <w:pPr>
        <w:spacing w:before="0" w:after="120"/>
      </w:pPr>
    </w:p>
    <w:p>
      <w:pPr>
        <w:spacing w:before="100" w:after="140"/>
        <w:jc w:val="both"/>
      </w:pPr>
      <w:r>
        <w:rPr>
          <w:sz w:val="22"/>
          <w:szCs w:val="22"/>
        </w:rPr>
        <w:t xml:space="preserve">Le schéma Joi register valide /^6[5-9]\d{7}$/ (sans indicatif, 9 chiffres). Mais le seed.js génère +237..., l'écran de connexion affiche comme placeholder +2376XXXXXXXX, et le middleware normalizePhone retire seulement les espaces, pas l'indicatif.</w:t>
      </w:r>
    </w:p>
    <w:p>
      <w:pPr>
        <w:spacing w:before="0" w:after="120"/>
      </w:pPr>
    </w:p>
    <w:p>
      <w:pPr>
        <w:pStyle w:val="Heading3"/>
        <w:spacing w:before="240" w:after="120"/>
      </w:pPr>
      <w:r>
        <w:rPr>
          <w:b/>
          <w:bCs/>
          <w:color w:val="1A5276"/>
          <w:sz w:val="24"/>
          <w:szCs w:val="24"/>
        </w:rPr>
        <w:t xml:space="preserve">Correction dans middleware/normalizePhone.js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52F" w:val="clear"/>
            <w:tcMar>
              <w:top w:type="dxa" w:w="180"/>
              <w:left w:type="dxa" w:w="240"/>
              <w:bottom w:type="dxa" w:w="180"/>
              <w:right w:type="dxa" w:w="240"/>
            </w:tcMar>
          </w:tcPr>
          <w:p>
            <w:r>
              <w:rPr>
                <w:b/>
                <w:bCs/>
                <w:color w:val="FFFFFF"/>
                <w:sz w:val="22"/>
                <w:szCs w:val="22"/>
              </w:rPr>
              <w:t xml:space="preserve">const normalizePhoneNumber = (req, res, next) =&gt; {
  if (req.body &amp;&amp; req.body.telephone) {
    let tel = req.body.telephone.replace(/\s+/g, '');
    // Retirer +237 ou 00237 si présent (robustesse défensive)
    tel = tel.replace(/^(\+237|00237)/, '');
    req.body.telephone = tel;
  }
  next();
};</w:t>
            </w:r>
          </w:p>
        </w:tc>
      </w:tr>
    </w:tbl>
    <w:p>
      <w:pPr>
        <w:spacing w:before="0" w:after="120"/>
      </w:pPr>
    </w:p>
    <w:p>
      <w:pPr>
        <w:spacing w:before="100" w:after="140"/>
        <w:jc w:val="both"/>
      </w:pPr>
      <w:r>
        <w:rPr>
          <w:sz w:val="22"/>
          <w:szCs w:val="22"/>
        </w:rPr>
        <w:t xml:space="preserve">Corriger le seed.js pour générer des numéros sans indicatif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52F" w:val="clear"/>
            <w:tcMar>
              <w:top w:type="dxa" w:w="180"/>
              <w:left w:type="dxa" w:w="240"/>
              <w:bottom w:type="dxa" w:w="180"/>
              <w:right w:type="dxa" w:w="240"/>
            </w:tcMar>
          </w:tcPr>
          <w:p>
            <w:r>
              <w:rPr>
                <w:b/>
                <w:bCs/>
                <w:color w:val="FFFFFF"/>
                <w:sz w:val="22"/>
                <w:szCs w:val="22"/>
              </w:rPr>
              <w:t xml:space="preserve">// Avant :
return `+2376${operator.slice(-1)}${uniquePart}`;
// Après :
return `6${operator.slice(-1)}${uniquePart}`;  // Ex: 651234567</w:t>
            </w:r>
          </w:p>
        </w:tc>
      </w:tr>
    </w:tbl>
    <w:p>
      <w:pPr>
        <w:spacing w:before="0" w:after="120"/>
      </w:pPr>
    </w:p>
    <w:p>
      <w:pPr>
        <w:spacing w:before="100" w:after="140"/>
        <w:jc w:val="both"/>
      </w:pPr>
      <w:r>
        <w:rPr>
          <w:sz w:val="22"/>
          <w:szCs w:val="22"/>
        </w:rPr>
        <w:t xml:space="preserve">Corriger le placeholder dans frontend/app/login.tsx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52F" w:val="clear"/>
            <w:tcMar>
              <w:top w:type="dxa" w:w="180"/>
              <w:left w:type="dxa" w:w="240"/>
              <w:bottom w:type="dxa" w:w="180"/>
              <w:right w:type="dxa" w:w="240"/>
            </w:tcMar>
          </w:tcPr>
          <w:p>
            <w:r>
              <w:rPr>
                <w:b/>
                <w:bCs/>
                <w:color w:val="FFFFFF"/>
                <w:sz w:val="22"/>
                <w:szCs w:val="22"/>
              </w:rPr>
              <w:t xml:space="preserve">// Avant :
placeholder='Ex: +2376XXXXXXXX'
// Après :
placeholder='Ex: 651234567'</w:t>
            </w:r>
          </w:p>
        </w:tc>
      </w:tr>
    </w:tbl>
    <w:p>
      <w:pPr>
        <w:spacing w:before="0" w:after="240"/>
      </w:pPr>
    </w:p>
    <w:p>
      <w:pPr>
        <w:pStyle w:val="Heading2"/>
        <w:spacing w:before="320" w:after="160"/>
      </w:pPr>
      <w:r>
        <w:rPr>
          <w:b/>
          <w:bCs/>
          <w:color w:val="154360"/>
          <w:sz w:val="28"/>
          <w:szCs w:val="28"/>
        </w:rPr>
        <w:t xml:space="preserve">1.10 — Credentials secrets exposés dans render.yaml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80"/>
              <w:left w:type="dxa" w:w="240"/>
              <w:bottom w:type="dxa" w:w="180"/>
              <w:right w:type="dxa" w:w="240"/>
            </w:tcMar>
          </w:tcPr>
          <w:p>
            <w:r>
              <w:rPr>
                <w:b/>
                <w:bCs/>
                <w:color w:val="FFFFFF"/>
                <w:sz w:val="22"/>
                <w:szCs w:val="22"/>
              </w:rPr>
              <w:t xml:space="preserve">IMPACT CRITIQUE : Mot de passe base de données, clé JWT, clé Cloudinary, URL Redis — tous visibles sur GitHub public. Sécurité compromise.</w:t>
            </w:r>
          </w:p>
        </w:tc>
      </w:tr>
    </w:tbl>
    <w:p>
      <w:pPr>
        <w:spacing w:before="0" w:after="120"/>
      </w:pPr>
    </w:p>
    <w:p>
      <w:pPr>
        <w:spacing w:before="100" w:after="140"/>
        <w:jc w:val="both"/>
      </w:pPr>
      <w:r>
        <w:rPr>
          <w:sz w:val="22"/>
          <w:szCs w:val="22"/>
        </w:rPr>
        <w:t xml:space="preserve">Le fichier render.yaml commité dans le dépôt contient en clair : DB_PASS, JWT_SECRET, CLOUDINARY_API_SECRET, CLOUDINARY_API_KEY, REDIS_URL avec mot de passe. Ces secrets doivent être régénérés immédiatement.</w:t>
      </w:r>
    </w:p>
    <w:p>
      <w:pPr>
        <w:spacing w:before="0" w:after="120"/>
      </w:pPr>
    </w:p>
    <w:p>
      <w:pPr>
        <w:pStyle w:val="ListParagraph"/>
        <w:numPr>
          <w:ilvl w:val="0"/>
          <w:numId w:val="1"/>
        </w:numPr>
        <w:spacing w:before="60" w:after="60"/>
      </w:pPr>
      <w:r>
        <w:rPr>
          <w:b/>
          <w:bCs/>
          <w:color w:val="C0392B"/>
          <w:sz w:val="22"/>
          <w:szCs w:val="22"/>
        </w:rPr>
        <w:t xml:space="preserve">1. Révoquer et régénérer immédiatement : mot de passe TiDB Cloud, clé Cloudinary, URL Redis Upstash, JWT_SECRET</w:t>
      </w:r>
    </w:p>
    <w:p>
      <w:pPr>
        <w:pStyle w:val="ListParagraph"/>
        <w:numPr>
          <w:ilvl w:val="0"/>
          <w:numId w:val="1"/>
        </w:numPr>
        <w:spacing w:before="60" w:after="60"/>
      </w:pPr>
      <w:r>
        <w:rPr>
          <w:b w:val="false"/>
          <w:bCs w:val="false"/>
          <w:sz w:val="22"/>
          <w:szCs w:val="22"/>
        </w:rPr>
        <w:t xml:space="preserve">2. Supprimer render.yaml du repo ou le remplacer par un fichier sans valeurs</w:t>
      </w:r>
    </w:p>
    <w:p>
      <w:pPr>
        <w:pStyle w:val="ListParagraph"/>
        <w:numPr>
          <w:ilvl w:val="0"/>
          <w:numId w:val="1"/>
        </w:numPr>
        <w:spacing w:before="60" w:after="60"/>
      </w:pPr>
      <w:r>
        <w:rPr>
          <w:b w:val="false"/>
          <w:bCs w:val="false"/>
          <w:sz w:val="22"/>
          <w:szCs w:val="22"/>
        </w:rPr>
        <w:t xml:space="preserve">3. Utiliser les variables d'environnement de Render.com (onglet Environment dans le dashboard)</w:t>
      </w:r>
    </w:p>
    <w:p>
      <w:pPr>
        <w:pStyle w:val="ListParagraph"/>
        <w:numPr>
          <w:ilvl w:val="0"/>
          <w:numId w:val="1"/>
        </w:numPr>
        <w:spacing w:before="60" w:after="60"/>
      </w:pPr>
      <w:r>
        <w:rPr>
          <w:b w:val="false"/>
          <w:bCs w:val="false"/>
          <w:sz w:val="22"/>
          <w:szCs w:val="22"/>
        </w:rPr>
        <w:t xml:space="preserve">4. Ajouter render.yaml au .gitignore</w:t>
      </w:r>
    </w:p>
    <w:p>
      <w:pPr>
        <w:pStyle w:val="ListParagraph"/>
        <w:numPr>
          <w:ilvl w:val="0"/>
          <w:numId w:val="1"/>
        </w:numPr>
        <w:spacing w:before="60" w:after="60"/>
      </w:pPr>
      <w:r>
        <w:rPr>
          <w:b w:val="false"/>
          <w:bCs w:val="false"/>
          <w:sz w:val="22"/>
          <w:szCs w:val="22"/>
        </w:rPr>
        <w:t xml:space="preserve">5. Utiliser un fichier .env.example sans valeurs réelles pour la documentation</w:t>
      </w:r>
    </w:p>
    <w:p>
      <w:pPr>
        <w:spacing w:before="0" w:after="240"/>
      </w:pPr>
    </w:p>
    <w:p>
      <w:r>
        <w:br w:type="page"/>
      </w:r>
    </w:p>
    <w:p>
      <w:pPr>
        <w:pStyle w:val="Heading1"/>
        <w:spacing w:before="400" w:after="200"/>
      </w:pPr>
      <w:r>
        <w:rPr>
          <w:b/>
          <w:bCs/>
          <w:color w:val="1A252F"/>
          <w:sz w:val="36"/>
          <w:szCs w:val="36"/>
        </w:rPr>
        <w:t xml:space="preserve">Section 2 — Incohérences rapport ↔ code</w:t>
      </w:r>
    </w:p>
    <w:p>
      <w:pPr>
        <w:spacing w:before="100" w:after="140"/>
        <w:jc w:val="both"/>
      </w:pPr>
      <w:r>
        <w:rPr>
          <w:sz w:val="22"/>
          <w:szCs w:val="22"/>
        </w:rPr>
        <w:t xml:space="preserve">Ces incohérences ne cassent pas le code mais fragilisent la crédibilité du rapport face au jury.</w:t>
      </w:r>
    </w:p>
    <w:p>
      <w:pPr>
        <w:spacing w:before="0" w:after="120"/>
      </w:pPr>
    </w:p>
    <w:p>
      <w:pPr>
        <w:pStyle w:val="Heading2"/>
        <w:spacing w:before="320" w:after="160"/>
      </w:pPr>
      <w:r>
        <w:rPr>
          <w:b/>
          <w:bCs/>
          <w:color w:val="154360"/>
          <w:sz w:val="28"/>
          <w:szCs w:val="28"/>
        </w:rPr>
        <w:t xml:space="preserve">2.1 — Taux de réalisation erronés (Tableau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7E22" w:val="clear"/>
            <w:tcMar>
              <w:top w:type="dxa" w:w="180"/>
              <w:left w:type="dxa" w:w="240"/>
              <w:bottom w:type="dxa" w:w="180"/>
              <w:right w:type="dxa" w:w="240"/>
            </w:tcMar>
          </w:tcPr>
          <w:p>
            <w:r>
              <w:rPr>
                <w:b/>
                <w:bCs/>
                <w:color w:val="FFFFFF"/>
                <w:sz w:val="22"/>
                <w:szCs w:val="22"/>
              </w:rPr>
              <w:t xml:space="preserve">Le rapport annonce 'Dashboard : 0%' et 'Multilinguisme : 0%'. Les deux sont faux.</w:t>
            </w:r>
          </w:p>
        </w:tc>
      </w:tr>
    </w:tbl>
    <w:p>
      <w:pPr>
        <w:spacing w:before="0" w:after="120"/>
      </w:pPr>
    </w:p>
    <w:p>
      <w:pPr>
        <w:spacing w:before="100" w:after="140"/>
        <w:jc w:val="both"/>
      </w:pPr>
      <w:r>
        <w:rPr>
          <w:sz w:val="22"/>
          <w:szCs w:val="22"/>
        </w:rPr>
        <w:t xml:space="preserve">Le répertoire desktop-centre/ contient des pages complètes et fonctionnelles (Dashboard.tsx, BloodStock.tsx, Appointments.tsx, Alerts.tsx) avec une vraie intégration API. Pour le multilinguisme, le fichier i18n.ts, les dossiers locales/fr/translation.ts et locales/en/translation.ts existent, et le package i18next v23.7 est installé.</w:t>
      </w:r>
    </w:p>
    <w:p>
      <w:pPr>
        <w:spacing w:before="0" w:after="120"/>
      </w:pPr>
    </w:p>
    <w:p>
      <w:pPr>
        <w:pStyle w:val="Heading3"/>
        <w:spacing w:before="240" w:after="120"/>
      </w:pPr>
      <w:r>
        <w:rPr>
          <w:b/>
          <w:bCs/>
          <w:color w:val="1A5276"/>
          <w:sz w:val="24"/>
          <w:szCs w:val="24"/>
        </w:rPr>
        <w:t xml:space="preserve">Correction du Tableau 23 dans le rapport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000"/>
        <w:gridCol w:w="1860"/>
      </w:tblGrid>
      <w:tr>
        <w:trPr>
          <w:tblHeader/>
        </w:trPr>
        <w:tc>
          <w:tcPr>
            <w:tcW w:type="dxa" w:w="450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tcPr>
          <w:p>
            <w:pPr>
              <w:jc w:val="center"/>
            </w:pPr>
            <w:r>
              <w:rPr>
                <w:b/>
                <w:bCs/>
                <w:color w:val="FFFFFF"/>
                <w:sz w:val="20"/>
                <w:szCs w:val="20"/>
              </w:rPr>
              <w:t xml:space="preserve">Module</w:t>
            </w:r>
          </w:p>
        </w:tc>
        <w:tc>
          <w:tcPr>
            <w:tcW w:type="dxa" w:w="300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tcPr>
          <w:p>
            <w:pPr>
              <w:jc w:val="center"/>
            </w:pPr>
            <w:r>
              <w:rPr>
                <w:b/>
                <w:bCs/>
                <w:color w:val="FFFFFF"/>
                <w:sz w:val="20"/>
                <w:szCs w:val="20"/>
              </w:rPr>
              <w:t xml:space="preserve">Statut corrigé</w:t>
            </w:r>
          </w:p>
        </w:tc>
        <w:tc>
          <w:tcPr>
            <w:tcW w:type="dxa" w:w="186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tcPr>
          <w:p>
            <w:pPr>
              <w:jc w:val="center"/>
            </w:pPr>
            <w:r>
              <w:rPr>
                <w:b/>
                <w:bCs/>
                <w:color w:val="FFFFFF"/>
                <w:sz w:val="20"/>
                <w:szCs w:val="20"/>
              </w:rPr>
              <w:t xml:space="preserve">% réalisé</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Dashboard admin (desktop-centre)</w:t>
            </w:r>
          </w:p>
        </w:tc>
        <w:tc>
          <w:tcPr>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color w:val="1A5276"/>
                <w:sz w:val="20"/>
                <w:szCs w:val="20"/>
              </w:rPr>
              <w:t xml:space="preserve">Partiellement réalisé</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sz w:val="20"/>
                <w:szCs w:val="20"/>
              </w:rPr>
              <w:t xml:space="preserve">75 %</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Multilinguisme FR/EN (i18next)</w:t>
            </w:r>
          </w:p>
        </w:tc>
        <w:tc>
          <w:tcPr>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color w:val="1A5276"/>
                <w:sz w:val="20"/>
                <w:szCs w:val="20"/>
              </w:rPr>
              <w:t xml:space="preserve">Structure en place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sz w:val="20"/>
                <w:szCs w:val="20"/>
              </w:rPr>
              <w:t xml:space="preserve">40 %</w:t>
            </w:r>
          </w:p>
        </w:tc>
      </w:tr>
    </w:tbl>
    <w:p>
      <w:pPr>
        <w:spacing w:before="0" w:after="240"/>
      </w:pPr>
    </w:p>
    <w:p>
      <w:pPr>
        <w:pStyle w:val="Heading2"/>
        <w:spacing w:before="320" w:after="160"/>
      </w:pPr>
      <w:r>
        <w:rPr>
          <w:b/>
          <w:bCs/>
          <w:color w:val="154360"/>
          <w:sz w:val="28"/>
          <w:szCs w:val="28"/>
        </w:rPr>
        <w:t xml:space="preserve">2.2 — Budget contradictoire dans le même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7E22" w:val="clear"/>
            <w:tcMar>
              <w:top w:type="dxa" w:w="180"/>
              <w:left w:type="dxa" w:w="240"/>
              <w:bottom w:type="dxa" w:w="180"/>
              <w:right w:type="dxa" w:w="240"/>
            </w:tcMar>
          </w:tcPr>
          <w:p>
            <w:r>
              <w:rPr>
                <w:b/>
                <w:bCs/>
                <w:color w:val="FFFFFF"/>
                <w:sz w:val="22"/>
                <w:szCs w:val="22"/>
              </w:rPr>
              <w:t xml:space="preserve">La section Contraintes dit 2 950 000 FCFA. Le Tableau 10 totalise 3 376 000 FCFA. Écart de 426 000 FCFA.</w:t>
            </w:r>
          </w:p>
        </w:tc>
      </w:tr>
    </w:tbl>
    <w:p>
      <w:pPr>
        <w:spacing w:before="0" w:after="120"/>
      </w:pPr>
    </w:p>
    <w:p>
      <w:pPr>
        <w:spacing w:before="100" w:after="140"/>
        <w:jc w:val="both"/>
      </w:pPr>
      <w:r>
        <w:rPr>
          <w:sz w:val="22"/>
          <w:szCs w:val="22"/>
        </w:rPr>
        <w:t xml:space="preserve">Le total du Tableau 10 est mathématiquement correct (somme des lignes = 3 376 000 FCFA). C'est la phrase dans la section Contraintes qui est erronée. Correction : remplacer '2 950 000 FCFA' par '3 376 000 FCFA' dans la section 2.2.5 Contraintes budgétaires.</w:t>
      </w:r>
    </w:p>
    <w:p>
      <w:pPr>
        <w:spacing w:before="0" w:after="240"/>
      </w:pPr>
    </w:p>
    <w:p>
      <w:pPr>
        <w:pStyle w:val="Heading2"/>
        <w:spacing w:before="320" w:after="160"/>
      </w:pPr>
      <w:r>
        <w:rPr>
          <w:b/>
          <w:bCs/>
          <w:color w:val="154360"/>
          <w:sz w:val="28"/>
          <w:szCs w:val="28"/>
        </w:rPr>
        <w:t xml:space="preserve">2.3 — Durée projet : Gantt 12 semaines vs réalité 6 mois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7E22" w:val="clear"/>
            <w:tcMar>
              <w:top w:type="dxa" w:w="180"/>
              <w:left w:type="dxa" w:w="240"/>
              <w:bottom w:type="dxa" w:w="180"/>
              <w:right w:type="dxa" w:w="240"/>
            </w:tcMar>
          </w:tcPr>
          <w:p>
            <w:r>
              <w:rPr>
                <w:b/>
                <w:bCs/>
                <w:color w:val="FFFFFF"/>
                <w:sz w:val="22"/>
                <w:szCs w:val="22"/>
              </w:rPr>
              <w:t xml:space="preserve">Le Gantt planifie 12 semaines. Le développement réel (sept. 2025 – mars 2026) = 26 semaines. Incohérence non expliquée.</w:t>
            </w:r>
          </w:p>
        </w:tc>
      </w:tr>
    </w:tbl>
    <w:p>
      <w:pPr>
        <w:spacing w:before="0" w:after="120"/>
      </w:pPr>
    </w:p>
    <w:p>
      <w:pPr>
        <w:spacing w:before="100" w:after="140"/>
        <w:jc w:val="both"/>
      </w:pPr>
      <w:r>
        <w:rPr>
          <w:sz w:val="22"/>
          <w:szCs w:val="22"/>
        </w:rPr>
        <w:t xml:space="preserve">Ces deux durées correspondent à deux phases différentes qui ne sont pas clairement distinguées dans le rapport. Le Gantt de 12 semaines est la planification théorique du stage (juillet-août). Le développement de 6 mois est la réalisation autonome post-stage.</w:t>
      </w:r>
    </w:p>
    <w:p>
      <w:pPr>
        <w:spacing w:before="0" w:after="120"/>
      </w:pPr>
    </w:p>
    <w:p>
      <w:pPr>
        <w:pStyle w:val="Heading3"/>
        <w:spacing w:before="240" w:after="120"/>
      </w:pPr>
      <w:r>
        <w:rPr>
          <w:b/>
          <w:bCs/>
          <w:color w:val="1A5276"/>
          <w:sz w:val="24"/>
          <w:szCs w:val="24"/>
        </w:rPr>
        <w:t xml:space="preserve">Reformulation à ajouter dans la section 2.5.4 (Gantt) :</w:t>
      </w:r>
    </w:p>
    <w:p>
      <w:pPr>
        <w:spacing w:before="100" w:after="140"/>
        <w:jc w:val="both"/>
      </w:pPr>
      <w:r>
        <w:rPr>
          <w:sz w:val="22"/>
          <w:szCs w:val="22"/>
        </w:rPr>
        <w:t xml:space="preserve">Note : ce diagramme de Gantt représente la planification théorique sur 12 semaines, correspondant à la phase de stage académique. Le développement autonome post-stage (septembre 2025 – mars 2026), d'une durée de 26 semaines, a suivi cette même structure de phases tout en permettant un approfondissement de chaque module. L'estimation PERT (≈ 60 jours ouvrables = 12 semaines à temps plein) confirme la cohérence du planning initial.</w:t>
      </w:r>
    </w:p>
    <w:p>
      <w:pPr>
        <w:spacing w:before="0" w:after="240"/>
      </w:pPr>
    </w:p>
    <w:p>
      <w:pPr>
        <w:pStyle w:val="Heading2"/>
        <w:spacing w:before="320" w:after="160"/>
      </w:pPr>
      <w:r>
        <w:rPr>
          <w:b/>
          <w:bCs/>
          <w:color w:val="154360"/>
          <w:sz w:val="28"/>
          <w:szCs w:val="28"/>
        </w:rPr>
        <w:t xml:space="preserve">2.4 — COCOMO : formule de Productivité incorrecte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7E22" w:val="clear"/>
            <w:tcMar>
              <w:top w:type="dxa" w:w="180"/>
              <w:left w:type="dxa" w:w="240"/>
              <w:bottom w:type="dxa" w:w="180"/>
              <w:right w:type="dxa" w:w="240"/>
            </w:tcMar>
          </w:tcPr>
          <w:p>
            <w:r>
              <w:rPr>
                <w:b/>
                <w:bCs/>
                <w:color w:val="FFFFFF"/>
                <w:sz w:val="22"/>
                <w:szCs w:val="22"/>
              </w:rPr>
              <w:t xml:space="preserve">La ligne 'Productivité (P)' du Tableau 11 affiche la formule de la Durée (D) au lieu de P = KLOC/E.</w:t>
            </w:r>
          </w:p>
        </w:tc>
      </w:tr>
    </w:tbl>
    <w:p>
      <w:pPr>
        <w:spacing w:before="0" w:after="120"/>
      </w:pPr>
    </w:p>
    <w:p>
      <w:pPr>
        <w:spacing w:before="100" w:after="140"/>
        <w:jc w:val="both"/>
      </w:pPr>
      <w:r>
        <w:rPr>
          <w:sz w:val="22"/>
          <w:szCs w:val="22"/>
        </w:rPr>
        <w:t xml:space="preserve">Le résultat (≈ 181 lignes/mois-homme) est correct car il a été calculé par la bonne formule P = KLOC / E = 45 000 / 248. Mais la formule affichée dans la colonne 'Formule' est D = 2,5 × (E)^0,35, qui est la formule de la Durée — un jury vérifiera.</w:t>
      </w:r>
    </w:p>
    <w:p>
      <w:pPr>
        <w:spacing w:before="0" w:after="120"/>
      </w:pPr>
    </w:p>
    <w:p>
      <w:pPr>
        <w:pStyle w:val="Heading3"/>
        <w:spacing w:before="240" w:after="120"/>
      </w:pPr>
      <w:r>
        <w:rPr>
          <w:b/>
          <w:bCs/>
          <w:color w:val="1A5276"/>
          <w:sz w:val="24"/>
          <w:szCs w:val="24"/>
        </w:rPr>
        <w:t xml:space="preserve">Correction dans le Tableau 11 :</w:t>
      </w:r>
    </w:p>
    <w:p>
      <w:pPr>
        <w:pStyle w:val="ListParagraph"/>
        <w:numPr>
          <w:ilvl w:val="0"/>
          <w:numId w:val="1"/>
        </w:numPr>
        <w:spacing w:before="60" w:after="60"/>
      </w:pPr>
      <w:r>
        <w:rPr>
          <w:b w:val="false"/>
          <w:bCs w:val="false"/>
          <w:sz w:val="22"/>
          <w:szCs w:val="22"/>
        </w:rPr>
        <w:t xml:space="preserve">Remplacer dans la colonne Formule de la ligne Productivité : 'D = 2,5 × (E)^0,35' par 'P = KLOC / E'</w:t>
      </w:r>
    </w:p>
    <w:p>
      <w:pPr>
        <w:pStyle w:val="ListParagraph"/>
        <w:numPr>
          <w:ilvl w:val="0"/>
          <w:numId w:val="1"/>
        </w:numPr>
        <w:spacing w:before="60" w:after="60"/>
      </w:pPr>
      <w:r>
        <w:rPr>
          <w:b w:val="false"/>
          <w:bCs w:val="false"/>
          <w:sz w:val="22"/>
          <w:szCs w:val="22"/>
        </w:rPr>
        <w:t xml:space="preserve">Remplacer dans la colonne Résultat : 'D = 2,5 × (248)^0,35 ≈ 19 mois | P = 45 000 / 248 ≈ 181' par '45 000 / 248 ≈ 181 lignes/mois-homme'</w:t>
      </w:r>
    </w:p>
    <w:p>
      <w:pPr>
        <w:spacing w:before="0" w:after="240"/>
      </w:pPr>
    </w:p>
    <w:p>
      <w:pPr>
        <w:pStyle w:val="Heading2"/>
        <w:spacing w:before="320" w:after="160"/>
      </w:pPr>
      <w:r>
        <w:rPr>
          <w:b/>
          <w:bCs/>
          <w:color w:val="154360"/>
          <w:sz w:val="28"/>
          <w:szCs w:val="28"/>
        </w:rPr>
        <w:t xml:space="preserve">2.5 — Liste des Figures incohérente avec les légendes réelles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7E22" w:val="clear"/>
            <w:tcMar>
              <w:top w:type="dxa" w:w="180"/>
              <w:left w:type="dxa" w:w="240"/>
              <w:bottom w:type="dxa" w:w="180"/>
              <w:right w:type="dxa" w:w="240"/>
            </w:tcMar>
          </w:tcPr>
          <w:p>
            <w:r>
              <w:rPr>
                <w:b/>
                <w:bCs/>
                <w:color w:val="FFFFFF"/>
                <w:sz w:val="22"/>
                <w:szCs w:val="22"/>
              </w:rPr>
              <w:t xml:space="preserve">Figure 5 annoncée comme 'Connexion utilisateur' dans la liste, mais la légende dans le corps dit 'Alerte SOS'.</w:t>
            </w:r>
          </w:p>
        </w:tc>
      </w:tr>
    </w:tbl>
    <w:p>
      <w:pPr>
        <w:spacing w:before="0" w:after="120"/>
      </w:pPr>
    </w:p>
    <w:p>
      <w:pPr>
        <w:spacing w:before="100" w:after="140"/>
        <w:jc w:val="both"/>
      </w:pPr>
      <w:r>
        <w:rPr>
          <w:sz w:val="22"/>
          <w:szCs w:val="22"/>
        </w:rPr>
        <w:t xml:space="preserve">Correction dans la Liste des Figures : remplacer 'Figure 5 : Diagrammes de Séquence — Connexion utilisateur' par 'Figure 5 : Diagramme de Séquence — Alerte SOS VitaSang'.</w:t>
      </w:r>
    </w:p>
    <w:p>
      <w:pPr>
        <w:spacing w:before="0" w:after="120"/>
      </w:pPr>
    </w:p>
    <w:p>
      <w:pPr>
        <w:spacing w:before="100" w:after="140"/>
        <w:jc w:val="both"/>
      </w:pPr>
      <w:r>
        <w:rPr>
          <w:sz w:val="22"/>
          <w:szCs w:val="22"/>
        </w:rPr>
        <w:t xml:space="preserve">Également, la Liste des Figures ne mentionne pas les Figures 7 à 13 (logo VitaSang, captures d'écran). Ajouter ces entrées.</w:t>
      </w:r>
    </w:p>
    <w:p>
      <w:pPr>
        <w:spacing w:before="0" w:after="240"/>
      </w:pPr>
    </w:p>
    <w:p>
      <w:pPr>
        <w:pStyle w:val="Heading2"/>
        <w:spacing w:before="320" w:after="160"/>
      </w:pPr>
      <w:r>
        <w:rPr>
          <w:b/>
          <w:bCs/>
          <w:color w:val="154360"/>
          <w:sz w:val="28"/>
          <w:szCs w:val="28"/>
        </w:rPr>
        <w:t xml:space="preserve">2.6 — Validateur d'alerte : rapport dit 'hôpital', code dit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7E22" w:val="clear"/>
            <w:tcMar>
              <w:top w:type="dxa" w:w="180"/>
              <w:left w:type="dxa" w:w="240"/>
              <w:bottom w:type="dxa" w:w="180"/>
              <w:right w:type="dxa" w:w="240"/>
            </w:tcMar>
          </w:tcPr>
          <w:p>
            <w:r>
              <w:rPr>
                <w:b/>
                <w:bCs/>
                <w:color w:val="FFFFFF"/>
                <w:sz w:val="22"/>
                <w:szCs w:val="22"/>
              </w:rPr>
              <w:t xml:space="preserve">Le rapport affirme à 4 endroits différents que 'seul un hôpital agréé peut valider'. Le code implémente requireRole('admin') seulement.</w:t>
            </w:r>
          </w:p>
        </w:tc>
      </w:tr>
    </w:tbl>
    <w:p>
      <w:pPr>
        <w:spacing w:before="0" w:after="120"/>
      </w:pPr>
    </w:p>
    <w:p>
      <w:pPr>
        <w:spacing w:before="100" w:after="140"/>
        <w:jc w:val="both"/>
      </w:pPr>
      <w:r>
        <w:rPr>
          <w:sz w:val="22"/>
          <w:szCs w:val="22"/>
        </w:rPr>
        <w:t xml:space="preserve">Après la correction du code (Section 1.5), mettre à jour le texte du rapport dans : la section CDCF, le diagramme de cas d'utilisation, le diagramme d'états-transitions, et la section 2.7.1.</w:t>
      </w:r>
    </w:p>
    <w:p>
      <w:pPr>
        <w:pStyle w:val="Heading3"/>
        <w:spacing w:before="240" w:after="120"/>
      </w:pPr>
      <w:r>
        <w:rPr>
          <w:b/>
          <w:bCs/>
          <w:color w:val="1A5276"/>
          <w:sz w:val="24"/>
          <w:szCs w:val="24"/>
        </w:rPr>
        <w:t xml:space="preserve">Reformulation dans le CDCF (Tableau 5, Module 2) :</w:t>
      </w:r>
    </w:p>
    <w:p>
      <w:pPr>
        <w:spacing w:before="100" w:after="140"/>
        <w:jc w:val="both"/>
      </w:pPr>
      <w:r>
        <w:rPr>
          <w:sz w:val="22"/>
          <w:szCs w:val="22"/>
        </w:rPr>
        <w:t xml:space="preserve">Remplacement de 'Seul un hôpital agréé peut valider une alerte SOS' par : 'Le personnel d'un centre de santé agréé ou un administrateur système peut valider une alerte SOS via le tableau de bord desktop-centre'.</w:t>
      </w:r>
    </w:p>
    <w:p>
      <w:pPr>
        <w:spacing w:before="0" w:after="240"/>
      </w:pPr>
    </w:p>
    <w:p>
      <w:r>
        <w:br w:type="page"/>
      </w:r>
    </w:p>
    <w:p>
      <w:pPr>
        <w:pStyle w:val="Heading1"/>
        <w:spacing w:before="400" w:after="200"/>
      </w:pPr>
      <w:r>
        <w:rPr>
          <w:b/>
          <w:bCs/>
          <w:color w:val="1A252F"/>
          <w:sz w:val="36"/>
          <w:szCs w:val="36"/>
        </w:rPr>
        <w:t xml:space="preserve">Section 3 — Problèmes de conception fondamentaux</w:t>
      </w:r>
    </w:p>
    <w:p>
      <w:pPr>
        <w:spacing w:before="0" w:after="120"/>
      </w:pPr>
    </w:p>
    <w:p>
      <w:pPr>
        <w:pStyle w:val="Heading2"/>
        <w:spacing w:before="320" w:after="160"/>
      </w:pPr>
      <w:r>
        <w:rPr>
          <w:b/>
          <w:bCs/>
          <w:color w:val="154360"/>
          <w:sz w:val="28"/>
          <w:szCs w:val="28"/>
        </w:rPr>
        <w:t xml:space="preserve">3.1 — La validation humaine est incompatible avec l'urgence médicale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80"/>
              <w:left w:type="dxa" w:w="240"/>
              <w:bottom w:type="dxa" w:w="180"/>
              <w:right w:type="dxa" w:w="240"/>
            </w:tcMar>
          </w:tcPr>
          <w:p>
            <w:r>
              <w:rPr>
                <w:b/>
                <w:bCs/>
                <w:color w:val="FFFFFF"/>
                <w:sz w:val="22"/>
                <w:szCs w:val="22"/>
              </w:rPr>
              <w:t xml:space="preserve">Un admin absent à 3h du matin, le week-end ou pendant une fête nationale = alerte dormante toute la journée = patient en danger.</w:t>
            </w:r>
          </w:p>
        </w:tc>
      </w:tr>
    </w:tbl>
    <w:p>
      <w:pPr>
        <w:spacing w:before="0" w:after="120"/>
      </w:pPr>
    </w:p>
    <w:p>
      <w:pPr>
        <w:spacing w:before="100" w:after="140"/>
        <w:jc w:val="both"/>
      </w:pPr>
      <w:r>
        <w:rPr>
          <w:sz w:val="22"/>
          <w:szCs w:val="22"/>
        </w:rPr>
        <w:t xml:space="preserve">C'est le problème de conception le plus grave de l'application. Le flux actuel crée une alerte avec statut 'en_attente_validation', puis attend qu'un être humain se connecte pour la valider avant d'envoyer les notifications. Pour un système médical d'urgence, ce flux est inacceptable.</w:t>
      </w:r>
    </w:p>
    <w:p>
      <w:pPr>
        <w:spacing w:before="0" w:after="120"/>
      </w:pPr>
    </w:p>
    <w:p>
      <w:pPr>
        <w:pStyle w:val="Heading3"/>
        <w:spacing w:before="240" w:after="120"/>
      </w:pPr>
      <w:r>
        <w:rPr>
          <w:b/>
          <w:bCs/>
          <w:color w:val="1A5276"/>
          <w:sz w:val="24"/>
          <w:szCs w:val="24"/>
        </w:rPr>
        <w:t xml:space="preserve">Solution recommandée : validation géographique automatique</w:t>
      </w:r>
    </w:p>
    <w:p>
      <w:pPr>
        <w:spacing w:before="100" w:after="140"/>
        <w:jc w:val="both"/>
      </w:pPr>
      <w:r>
        <w:rPr>
          <w:sz w:val="22"/>
          <w:szCs w:val="22"/>
        </w:rPr>
        <w:t xml:space="preserve">Si la requête GPS du créateur d'alerte situe la personne dans un rayon de 2 km autour d'un centre agréé MINSANTÉ, l'alerte est automatiquement validée et les notifications partent immédiatement, sans intervention humaine. La présence physique à proximité d'un hôpital constitue une preuve implicite de légitimité.</w:t>
      </w:r>
    </w:p>
    <w:p>
      <w:pPr>
        <w:spacing w:before="0" w:after="120"/>
      </w:pPr>
    </w:p>
    <w:p>
      <w:pPr>
        <w:pStyle w:val="Heading3"/>
        <w:spacing w:before="240" w:after="120"/>
      </w:pPr>
      <w:r>
        <w:rPr>
          <w:b/>
          <w:bCs/>
          <w:color w:val="1A5276"/>
          <w:sz w:val="24"/>
          <w:szCs w:val="24"/>
        </w:rPr>
        <w:t xml:space="preserve">Algorithme à implémenter dans createAlert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52F" w:val="clear"/>
            <w:tcMar>
              <w:top w:type="dxa" w:w="180"/>
              <w:left w:type="dxa" w:w="240"/>
              <w:bottom w:type="dxa" w:w="180"/>
              <w:right w:type="dxa" w:w="240"/>
            </w:tcMar>
          </w:tcPr>
          <w:p>
            <w:r>
              <w:rPr>
                <w:b/>
                <w:bCs/>
                <w:color w:val="FFFFFF"/>
                <w:sz w:val="22"/>
                <w:szCs w:val="22"/>
              </w:rPr>
              <w:t xml:space="preserve">// Dans createAlert, après la création de l'alerte :
const { latitude, longitude } = req.body;
// Chercher le centre agréé le plus proche
const [centresProches] = await db.sequelize.query(`
  SELECT id_centre, nom_centre,
    (6371 * acos(
      cos(radians(${latitude})) * cos(radians(latitude)) *
      cos(radians(longitude) - radians(${longitude})) +
      sin(radians(${latitude})) * sin(radians(latitude))
    )) AS distance
  FROM Centres_Sante
  HAVING distance &lt;= 2
  ORDER BY distance ASC
  LIMIT 1
`);
if (centresProches.length &gt; 0) {
  // Auto-validation : alerte immédiatement en_cours
  alerte.statut = 'en_cours';
  alerte.id_centre = centresProches[0].id_centre;
  await alerte.save();
  // Envoyer les notifications immédiatement
  await notificationQueue.add('sendAlert', { alertId: alerte.id_alerte, ... });
  return res.status(201).json({
    success: true,
    message: 'Alerte validée automatiquement. Notifications en cours.',
    alerte, autoValidated: true
  });
}
// Sinon : laisser en attente de validation manuelle</w:t>
            </w:r>
          </w:p>
        </w:tc>
      </w:tr>
    </w:tbl>
    <w:p>
      <w:pPr>
        <w:spacing w:before="0" w:after="240"/>
      </w:pPr>
    </w:p>
    <w:p>
      <w:pPr>
        <w:pStyle w:val="Heading2"/>
        <w:spacing w:before="320" w:after="160"/>
      </w:pPr>
      <w:r>
        <w:rPr>
          <w:b/>
          <w:bCs/>
          <w:color w:val="154360"/>
          <w:sz w:val="28"/>
          <w:szCs w:val="28"/>
        </w:rPr>
        <w:t xml:space="preserve">3.2 — Haversine dupliqué 3 fois : violation du principe DRY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7E22" w:val="clear"/>
            <w:tcMar>
              <w:top w:type="dxa" w:w="180"/>
              <w:left w:type="dxa" w:w="240"/>
              <w:bottom w:type="dxa" w:w="180"/>
              <w:right w:type="dxa" w:w="240"/>
            </w:tcMar>
          </w:tcPr>
          <w:p>
            <w:r>
              <w:rPr>
                <w:b/>
                <w:bCs/>
                <w:color w:val="FFFFFF"/>
                <w:sz w:val="22"/>
                <w:szCs w:val="22"/>
              </w:rPr>
              <w:t xml:space="preserve">La même formule SQL est copiée dans users.controller.js, centres.controller.js et notification.queue.js. geoHelpers.js existe mais n'est pas utilisé.</w:t>
            </w:r>
          </w:p>
        </w:tc>
      </w:tr>
    </w:tbl>
    <w:p>
      <w:pPr>
        <w:spacing w:before="0" w:after="120"/>
      </w:pPr>
    </w:p>
    <w:p>
      <w:pPr>
        <w:spacing w:before="100" w:after="140"/>
        <w:jc w:val="both"/>
      </w:pPr>
      <w:r>
        <w:rPr>
          <w:sz w:val="22"/>
          <w:szCs w:val="22"/>
        </w:rPr>
        <w:t xml:space="preserve">Si la formule doit changer (passage à PostGIS, correction d'un cas limite), il faut modifier 3 fichiers différents. Le module geoHelpers.js avec calculateDistance() est testé (les tests unitaires passent) mais n'est utilisé nulle part dans la logique principale.</w:t>
      </w:r>
    </w:p>
    <w:p>
      <w:pPr>
        <w:spacing w:before="0" w:after="120"/>
      </w:pPr>
    </w:p>
    <w:p>
      <w:pPr>
        <w:pStyle w:val="Heading3"/>
        <w:spacing w:before="240" w:after="120"/>
      </w:pPr>
      <w:r>
        <w:rPr>
          <w:b/>
          <w:bCs/>
          <w:color w:val="1A5276"/>
          <w:sz w:val="24"/>
          <w:szCs w:val="24"/>
        </w:rPr>
        <w:t xml:space="preserve">Correction : créer une fonction utilitaire SQL centralisée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52F" w:val="clear"/>
            <w:tcMar>
              <w:top w:type="dxa" w:w="180"/>
              <w:left w:type="dxa" w:w="240"/>
              <w:bottom w:type="dxa" w:w="180"/>
              <w:right w:type="dxa" w:w="240"/>
            </w:tcMar>
          </w:tcPr>
          <w:p>
            <w:r>
              <w:rPr>
                <w:b/>
                <w:bCs/>
                <w:color w:val="FFFFFF"/>
                <w:sz w:val="22"/>
                <w:szCs w:val="22"/>
              </w:rPr>
              <w:t xml:space="preserve">// Dans utils/geoHelpers.js, ajouter :
exports.haversineSQL = (lat, lng, tableAlias = '') =&gt; {
  const prefix = tableAlias ? `\`${tableAlias}\`.` : '';
  return `(
    6371 * acos(
      cos(radians(${lat})) * cos(radians(${prefix}\`lat_actuelle\`)) *
      cos(radians(${prefix}\`long_actuelle\`) - radians(${lng})) +
      sin(radians(${lat})) * sin(radians(${prefix}\`lat_actuelle\`))
    )
  )`;
};
// Utilisation dans les contrôleurs :
const { haversineSQL } = require('../utils/geoHelpers');
const haversine = haversineSQL(userLat, userLong, 'profilDonneur');</w:t>
            </w:r>
          </w:p>
        </w:tc>
      </w:tr>
    </w:tbl>
    <w:p>
      <w:pPr>
        <w:spacing w:before="0" w:after="240"/>
      </w:pPr>
    </w:p>
    <w:p>
      <w:pPr>
        <w:pStyle w:val="Heading2"/>
        <w:spacing w:before="320" w:after="160"/>
      </w:pPr>
      <w:r>
        <w:rPr>
          <w:b/>
          <w:bCs/>
          <w:color w:val="154360"/>
          <w:sz w:val="28"/>
          <w:szCs w:val="28"/>
        </w:rPr>
        <w:t xml:space="preserve">3.3 — Le modèle économique n'est pas adressé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7E22" w:val="clear"/>
            <w:tcMar>
              <w:top w:type="dxa" w:w="180"/>
              <w:left w:type="dxa" w:w="240"/>
              <w:bottom w:type="dxa" w:w="180"/>
              <w:right w:type="dxa" w:w="240"/>
            </w:tcMar>
          </w:tcPr>
          <w:p>
            <w:r>
              <w:rPr>
                <w:b/>
                <w:bCs/>
                <w:color w:val="FFFFFF"/>
                <w:sz w:val="22"/>
                <w:szCs w:val="22"/>
              </w:rPr>
              <w:t xml:space="preserve">Sans source de revenus définie, l'application cesse de fonctionner dès que les frais d'hébergement (Render, TiDB, Redis) dépassent le budget disponible.</w:t>
            </w:r>
          </w:p>
        </w:tc>
      </w:tr>
    </w:tbl>
    <w:p>
      <w:pPr>
        <w:spacing w:before="0" w:after="120"/>
      </w:pPr>
    </w:p>
    <w:p>
      <w:pPr>
        <w:spacing w:before="100" w:after="140"/>
        <w:jc w:val="both"/>
      </w:pPr>
      <w:r>
        <w:rPr>
          <w:sz w:val="22"/>
          <w:szCs w:val="22"/>
        </w:rPr>
        <w:t xml:space="preserve">Le projet annonce 600 000 FCFA/an de maintenance, mais aucun mécanisme de financement n'est prévu. Les hôpitaux publics camerounais n'ont généralement pas de budget numérique. Trois modèles viables pour le contexte local :</w:t>
      </w:r>
    </w:p>
    <w:p>
      <w:pPr>
        <w:spacing w:before="0" w:after="120"/>
      </w:pPr>
    </w:p>
    <w:p>
      <w:pPr>
        <w:pStyle w:val="ListParagraph"/>
        <w:numPr>
          <w:ilvl w:val="0"/>
          <w:numId w:val="1"/>
        </w:numPr>
        <w:spacing w:before="60" w:after="60"/>
      </w:pPr>
      <w:r>
        <w:rPr>
          <w:b w:val="false"/>
          <w:bCs w:val="false"/>
          <w:sz w:val="22"/>
          <w:szCs w:val="22"/>
        </w:rPr>
        <w:t xml:space="preserve">Facturation aux cliniques privées : abonnement mensuel (50 000 – 150 000 FCFA/mois) pour l'accès au dashboard et à la validation des alertes</w:t>
      </w:r>
    </w:p>
    <w:p>
      <w:pPr>
        <w:pStyle w:val="ListParagraph"/>
        <w:numPr>
          <w:ilvl w:val="0"/>
          <w:numId w:val="1"/>
        </w:numPr>
        <w:spacing w:before="60" w:after="60"/>
      </w:pPr>
      <w:r>
        <w:rPr>
          <w:b w:val="false"/>
          <w:bCs w:val="false"/>
          <w:sz w:val="22"/>
          <w:szCs w:val="22"/>
        </w:rPr>
        <w:t xml:space="preserve">Partenariat Orange/MTN : les opérateurs ont des programmes RSE santé et peuvent cofinancer en échange de la promotion de leurs services de paiement mobile</w:t>
      </w:r>
    </w:p>
    <w:p>
      <w:pPr>
        <w:pStyle w:val="ListParagraph"/>
        <w:numPr>
          <w:ilvl w:val="0"/>
          <w:numId w:val="1"/>
        </w:numPr>
        <w:spacing w:before="60" w:after="60"/>
      </w:pPr>
      <w:r>
        <w:rPr>
          <w:b w:val="false"/>
          <w:bCs w:val="false"/>
          <w:sz w:val="22"/>
          <w:szCs w:val="22"/>
        </w:rPr>
        <w:t xml:space="preserve">Intégration MINSANTÉ : subvention publique via le programme de digitalisation de la santé, en échange de l'homologation officielle par le CNTS</w:t>
      </w:r>
    </w:p>
    <w:p>
      <w:pPr>
        <w:spacing w:before="0" w:after="240"/>
      </w:pPr>
    </w:p>
    <w:p>
      <w:r>
        <w:br w:type="page"/>
      </w:r>
    </w:p>
    <w:p>
      <w:pPr>
        <w:pStyle w:val="Heading1"/>
        <w:spacing w:before="400" w:after="200"/>
      </w:pPr>
      <w:r>
        <w:rPr>
          <w:b/>
          <w:bCs/>
          <w:color w:val="1A252F"/>
          <w:sz w:val="36"/>
          <w:szCs w:val="36"/>
        </w:rPr>
        <w:t xml:space="preserve">Section 4 — Adaptations au contexte camerounais</w:t>
      </w:r>
    </w:p>
    <w:p>
      <w:pPr>
        <w:spacing w:before="0" w:after="120"/>
      </w:pPr>
    </w:p>
    <w:p>
      <w:pPr>
        <w:pStyle w:val="Heading2"/>
        <w:spacing w:before="320" w:after="160"/>
      </w:pPr>
      <w:r>
        <w:rPr>
          <w:b/>
          <w:bCs/>
          <w:color w:val="154360"/>
          <w:sz w:val="28"/>
          <w:szCs w:val="28"/>
        </w:rPr>
        <w:t xml:space="preserve">4.1 — FCM seul couvre seulement 40% des cas réels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80"/>
              <w:left w:type="dxa" w:w="240"/>
              <w:bottom w:type="dxa" w:w="180"/>
              <w:right w:type="dxa" w:w="240"/>
            </w:tcMar>
          </w:tcPr>
          <w:p>
            <w:r>
              <w:rPr>
                <w:b/>
                <w:bCs/>
                <w:color w:val="FFFFFF"/>
                <w:sz w:val="22"/>
                <w:szCs w:val="22"/>
              </w:rPr>
              <w:t xml:space="preserve">Tecno/Itel dominent le marché camerounais. Ces appareils ont des Play Services instables et des gestionnaires de batterie qui tuent FCM en arrière-plan.</w:t>
            </w:r>
          </w:p>
        </w:tc>
      </w:tr>
    </w:tbl>
    <w:p>
      <w:pPr>
        <w:spacing w:before="0" w:after="120"/>
      </w:pPr>
    </w:p>
    <w:p>
      <w:pPr>
        <w:spacing w:before="100" w:after="140"/>
        <w:jc w:val="both"/>
      </w:pPr>
      <w:r>
        <w:rPr>
          <w:sz w:val="22"/>
          <w:szCs w:val="22"/>
        </w:rPr>
        <w:t xml:space="preserve">Au Cameroun, environ 60% des smartphones sont des marques chinoises (Tecno, Itel, Infinix) avec des versions Android customisées. En zone 3G (Bafoussam, Bamenda, Buea), la livraison FCM peut prendre 5 à 30 minutes. Pour une urgence médicale, ce délai est inacceptable.</w:t>
      </w:r>
    </w:p>
    <w:p>
      <w:pPr>
        <w:spacing w:before="0" w:after="120"/>
      </w:pPr>
    </w:p>
    <w:p>
      <w:pPr>
        <w:pStyle w:val="Heading3"/>
        <w:spacing w:before="240" w:after="120"/>
      </w:pPr>
      <w:r>
        <w:rPr>
          <w:b/>
          <w:bCs/>
          <w:color w:val="1A5276"/>
          <w:sz w:val="24"/>
          <w:szCs w:val="24"/>
        </w:rPr>
        <w:t xml:space="preserve">Architecture de notification recommandée — cascade à 3 niveaux :</w:t>
      </w:r>
    </w:p>
    <w:p>
      <w:pPr>
        <w:spacing w:before="0" w:after="120"/>
      </w:pPr>
    </w:p>
    <w:p>
      <w:pPr>
        <w:pStyle w:val="ListParagraph"/>
        <w:numPr>
          <w:ilvl w:val="0"/>
          <w:numId w:val="1"/>
        </w:numPr>
        <w:spacing w:before="60" w:after="60"/>
      </w:pPr>
      <w:r>
        <w:rPr>
          <w:b w:val="false"/>
          <w:bCs w:val="false"/>
          <w:sz w:val="22"/>
          <w:szCs w:val="22"/>
        </w:rPr>
        <w:t xml:space="preserve">Canal 1 — FCM/Expo Push : couverture ~40%, latence &lt;30s si conditions OK. Requis : 4G stable, Play Services actif, batterie saver désactivé.</w:t>
      </w:r>
    </w:p>
    <w:p>
      <w:pPr>
        <w:pStyle w:val="ListParagraph"/>
        <w:numPr>
          <w:ilvl w:val="0"/>
          <w:numId w:val="1"/>
        </w:numPr>
        <w:spacing w:before="60" w:after="60"/>
      </w:pPr>
      <w:r>
        <w:rPr>
          <w:b/>
          <w:bCs/>
          <w:color w:val="C0392B"/>
          <w:sz w:val="22"/>
          <w:szCs w:val="22"/>
        </w:rPr>
        <w:t xml:space="preserve">Canal 2 — WhatsApp Business API (Meta) : couverture ~80% urbain, latence 5-60s. Fonctionne en 3G lent. Pénétration réelle au Cameroun supérieure à FCM.</w:t>
      </w:r>
    </w:p>
    <w:p>
      <w:pPr>
        <w:pStyle w:val="ListParagraph"/>
        <w:numPr>
          <w:ilvl w:val="0"/>
          <w:numId w:val="1"/>
        </w:numPr>
        <w:spacing w:before="60" w:after="60"/>
      </w:pPr>
      <w:r>
        <w:rPr>
          <w:b w:val="false"/>
          <w:bCs w:val="false"/>
          <w:sz w:val="22"/>
          <w:szCs w:val="22"/>
        </w:rPr>
        <w:t xml:space="preserve">Canal 3 — SMS Orange/MTN API : couverture ~95%, latence &lt;2min. Fonctionne en 2G. Aucune app requise. Filet de sécurité ultime.</w:t>
      </w:r>
    </w:p>
    <w:p>
      <w:pPr>
        <w:spacing w:before="0" w:after="120"/>
      </w:pPr>
    </w:p>
    <w:p>
      <w:pPr>
        <w:pStyle w:val="Heading3"/>
        <w:spacing w:before="240" w:after="120"/>
      </w:pPr>
      <w:r>
        <w:rPr>
          <w:b/>
          <w:bCs/>
          <w:color w:val="1A5276"/>
          <w:sz w:val="24"/>
          <w:szCs w:val="24"/>
        </w:rPr>
        <w:t xml:space="preserve">Implémentation de la cascade dans notification.queue.js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52F" w:val="clear"/>
            <w:tcMar>
              <w:top w:type="dxa" w:w="180"/>
              <w:left w:type="dxa" w:w="240"/>
              <w:bottom w:type="dxa" w:w="180"/>
              <w:right w:type="dxa" w:w="240"/>
            </w:tcMar>
          </w:tcPr>
          <w:p>
            <w:r>
              <w:rPr>
                <w:b/>
                <w:bCs/>
                <w:color w:val="FFFFFF"/>
                <w:sz w:val="22"/>
                <w:szCs w:val="22"/>
              </w:rPr>
              <w:t xml:space="preserve">// Ordre de tentative pour chaque donneur :
for (const donor of donors) {
  let notified = false;
  // 1. FCM si push_token disponible
  if (donor.push_token &amp;&amp; Expo.isExpoPushToken(donor.push_token)) {
    const result = await sendExpoNotification(donor.push_token, message);
    if (result.success) { notified = true; log(donor, 'push', 'envoye'); }
  }
  // 2. WhatsApp si non notifié et numéro disponible
  if (!notified &amp;&amp; donor.telephone) {
    const waResult = await sendWhatsAppMessage(donor.telephone, waMessage);
    if (waResult.success) { notified = true; log(donor, 'whatsapp', 'envoye'); }
  }
  // 3. SMS si toujours non notifié
  if (!notified &amp;&amp; donor.telephone) {
    const smsResult = await sendSMS(donor.telephone, smsMessage);
    if (smsResult.success) { log(donor, 'sms', 'envoye'); }
  }
}</w:t>
            </w:r>
          </w:p>
        </w:tc>
      </w:tr>
    </w:tbl>
    <w:p>
      <w:pPr>
        <w:spacing w:before="0" w:after="240"/>
      </w:pPr>
    </w:p>
    <w:p>
      <w:pPr>
        <w:pStyle w:val="Heading2"/>
        <w:spacing w:before="320" w:after="160"/>
      </w:pPr>
      <w:r>
        <w:rPr>
          <w:b/>
          <w:bCs/>
          <w:color w:val="154360"/>
          <w:sz w:val="28"/>
          <w:szCs w:val="28"/>
        </w:rPr>
        <w:t xml:space="preserve">4.2 — Le groupe sanguin ne doit pas être obligatoire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7E22" w:val="clear"/>
            <w:tcMar>
              <w:top w:type="dxa" w:w="180"/>
              <w:left w:type="dxa" w:w="240"/>
              <w:bottom w:type="dxa" w:w="180"/>
              <w:right w:type="dxa" w:w="240"/>
            </w:tcMar>
          </w:tcPr>
          <w:p>
            <w:r>
              <w:rPr>
                <w:b/>
                <w:bCs/>
                <w:color w:val="FFFFFF"/>
                <w:sz w:val="22"/>
                <w:szCs w:val="22"/>
              </w:rPr>
              <w:t xml:space="preserve">Au Cameroun, beaucoup de gens ne connaissent pas leur groupe sanguin. Exiger cette information bloque l'inscription pour une partie significative de la population cible.</w:t>
            </w:r>
          </w:p>
        </w:tc>
      </w:tr>
    </w:tbl>
    <w:p>
      <w:pPr>
        <w:spacing w:before="0" w:after="120"/>
      </w:pPr>
    </w:p>
    <w:p>
      <w:pPr>
        <w:spacing w:before="100" w:after="140"/>
        <w:jc w:val="both"/>
      </w:pPr>
      <w:r>
        <w:rPr>
          <w:sz w:val="22"/>
          <w:szCs w:val="22"/>
        </w:rPr>
        <w:t xml:space="preserve">En situation d'urgence, la famille ne connaît souvent pas le groupe sanguin du patient non plus — elle doit attendre le bilan hospitalier. Une alerte sans groupe sanguin précis doit notifier tous les donneurs disponibles dans le rayon, avec une mention 'groupe à confirmer par l'hôpital'.</w:t>
      </w:r>
    </w:p>
    <w:p>
      <w:pPr>
        <w:spacing w:before="0" w:after="120"/>
      </w:pPr>
    </w:p>
    <w:p>
      <w:pPr>
        <w:pStyle w:val="Heading3"/>
        <w:spacing w:before="240" w:after="120"/>
      </w:pPr>
      <w:r>
        <w:rPr>
          <w:b/>
          <w:bCs/>
          <w:color w:val="1A5276"/>
          <w:sz w:val="24"/>
          <w:szCs w:val="24"/>
        </w:rPr>
        <w:t xml:space="preserve">Modifications nécessaires :</w:t>
      </w:r>
    </w:p>
    <w:p>
      <w:pPr>
        <w:pStyle w:val="ListParagraph"/>
        <w:numPr>
          <w:ilvl w:val="0"/>
          <w:numId w:val="1"/>
        </w:numPr>
        <w:spacing w:before="60" w:after="60"/>
      </w:pPr>
      <w:r>
        <w:rPr>
          <w:b w:val="false"/>
          <w:bCs w:val="false"/>
          <w:sz w:val="22"/>
          <w:szCs w:val="22"/>
        </w:rPr>
        <w:t xml:space="preserve">Dans schemas.js (register) : rendre groupe_sanguin optionnel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52F" w:val="clear"/>
            <w:tcMar>
              <w:top w:type="dxa" w:w="180"/>
              <w:left w:type="dxa" w:w="240"/>
              <w:bottom w:type="dxa" w:w="180"/>
              <w:right w:type="dxa" w:w="240"/>
            </w:tcMar>
          </w:tcPr>
          <w:p>
            <w:r>
              <w:rPr>
                <w:b/>
                <w:bCs/>
                <w:color w:val="FFFFFF"/>
                <w:sz w:val="22"/>
                <w:szCs w:val="22"/>
              </w:rPr>
              <w:t xml:space="preserve">groupe_sanguin: Joi.string()
  .valid('A+', 'A-', 'B+', 'B-', 'AB+', 'AB-', 'O+', 'O-')
  .optional()  // ← Changer .required() en .optional()
  .allow(null, '')</w:t>
            </w:r>
          </w:p>
        </w:tc>
      </w:tr>
    </w:tbl>
    <w:p>
      <w:pPr>
        <w:pStyle w:val="ListParagraph"/>
        <w:numPr>
          <w:ilvl w:val="0"/>
          <w:numId w:val="1"/>
        </w:numPr>
        <w:spacing w:before="60" w:after="60"/>
      </w:pPr>
      <w:r>
        <w:rPr>
          <w:b w:val="false"/>
          <w:bCs w:val="false"/>
          <w:sz w:val="22"/>
          <w:szCs w:val="22"/>
        </w:rPr>
        <w:t xml:space="preserve">Dans profil_donneur.model.js : rendre groupe_sanguin nullable</w:t>
      </w:r>
    </w:p>
    <w:p>
      <w:pPr>
        <w:pStyle w:val="ListParagraph"/>
        <w:numPr>
          <w:ilvl w:val="0"/>
          <w:numId w:val="1"/>
        </w:numPr>
        <w:spacing w:before="60" w:after="60"/>
      </w:pPr>
      <w:r>
        <w:rPr>
          <w:b w:val="false"/>
          <w:bCs w:val="false"/>
          <w:sz w:val="22"/>
          <w:szCs w:val="22"/>
        </w:rPr>
        <w:t xml:space="preserve">Dans createAlert : si groupe_sanguin absent, notifier tous les groupes et ajouter un flag 'groupe_a_confirmer' dans l'alerte</w:t>
      </w:r>
    </w:p>
    <w:p>
      <w:pPr>
        <w:pStyle w:val="ListParagraph"/>
        <w:numPr>
          <w:ilvl w:val="0"/>
          <w:numId w:val="1"/>
        </w:numPr>
        <w:spacing w:before="60" w:after="60"/>
      </w:pPr>
      <w:r>
        <w:rPr>
          <w:b w:val="false"/>
          <w:bCs w:val="false"/>
          <w:sz w:val="22"/>
          <w:szCs w:val="22"/>
        </w:rPr>
        <w:t xml:space="preserve">Dans l'UI mobile : permettre de renseigner le groupe sanguin après inscription, avec une bannière incitative mais non bloquante</w:t>
      </w:r>
    </w:p>
    <w:p>
      <w:pPr>
        <w:spacing w:before="0" w:after="240"/>
      </w:pPr>
    </w:p>
    <w:p>
      <w:pPr>
        <w:pStyle w:val="Heading2"/>
        <w:spacing w:before="320" w:after="160"/>
      </w:pPr>
      <w:r>
        <w:rPr>
          <w:b/>
          <w:bCs/>
          <w:color w:val="154360"/>
          <w:sz w:val="28"/>
          <w:szCs w:val="28"/>
        </w:rPr>
        <w:t xml:space="preserve">4.3 — Alerte en mode invité + inscription différée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80"/>
              <w:left w:type="dxa" w:w="240"/>
              <w:bottom w:type="dxa" w:w="180"/>
              <w:right w:type="dxa" w:w="240"/>
            </w:tcMar>
          </w:tcPr>
          <w:p>
            <w:r>
              <w:rPr>
                <w:b/>
                <w:bCs/>
                <w:color w:val="FFFFFF"/>
                <w:sz w:val="22"/>
                <w:szCs w:val="22"/>
              </w:rPr>
              <w:t xml:space="preserve">En urgence, forcer l'inscription avant l'alerte coûte des minutes précieuses. Le cas le plus fréquent au Cameroun = famille en panique sans compte.</w:t>
            </w:r>
          </w:p>
        </w:tc>
      </w:tr>
    </w:tbl>
    <w:p>
      <w:pPr>
        <w:spacing w:before="0" w:after="120"/>
      </w:pPr>
    </w:p>
    <w:p>
      <w:pPr>
        <w:spacing w:before="100" w:after="140"/>
        <w:jc w:val="both"/>
      </w:pPr>
      <w:r>
        <w:rPr>
          <w:sz w:val="22"/>
          <w:szCs w:val="22"/>
        </w:rPr>
        <w:t xml:space="preserve">Le flux correct pour le Cameroun : l'alerte est lancée immédiatement (sans compte), les notifications partent, puis l'application propose l'inscription pour suivre l'avancement. Un token temporaire lie l'alerte au futur compte.</w:t>
      </w:r>
    </w:p>
    <w:p>
      <w:pPr>
        <w:spacing w:before="0" w:after="120"/>
      </w:pPr>
    </w:p>
    <w:p>
      <w:pPr>
        <w:pStyle w:val="Heading3"/>
        <w:spacing w:before="240" w:after="120"/>
      </w:pPr>
      <w:r>
        <w:rPr>
          <w:b/>
          <w:bCs/>
          <w:color w:val="1A5276"/>
          <w:sz w:val="24"/>
          <w:szCs w:val="24"/>
        </w:rPr>
        <w:t xml:space="preserve">Implémentation du token temporaire côté backend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52F" w:val="clear"/>
            <w:tcMar>
              <w:top w:type="dxa" w:w="180"/>
              <w:left w:type="dxa" w:w="240"/>
              <w:bottom w:type="dxa" w:w="180"/>
              <w:right w:type="dxa" w:w="240"/>
            </w:tcMar>
          </w:tcPr>
          <w:p>
            <w:r>
              <w:rPr>
                <w:b/>
                <w:bCs/>
                <w:color w:val="FFFFFF"/>
                <w:sz w:val="22"/>
                <w:szCs w:val="22"/>
              </w:rPr>
              <w:t xml:space="preserve">// Dans createAlert (quand req.user est absent) :
const crypto = require('crypto');
const temp_token = crypto.randomBytes(16).toString('hex');
// Stocker dans l'alerte
alerte.temp_token = temp_token;  // ← Ajouter ce champ au modèle Alerte
await alerte.save();
// Retourner le token au frontend invité
return res.status(201).json({
  success: true,
  alerte,
  temp_token,  // ← Frontend stocke dans AsyncStorage
  message: 'Alerte envoyée. Créez un compte pour suivre l\'avancement.'
});
// Lors de l'inscription (addUser) :
// Si req.body.temp_token, lier l'alerte correspondante au nouveau compte</w:t>
            </w:r>
          </w:p>
        </w:tc>
      </w:tr>
    </w:tbl>
    <w:p>
      <w:pPr>
        <w:spacing w:before="0" w:after="240"/>
      </w:pPr>
    </w:p>
    <w:p>
      <w:pPr>
        <w:pStyle w:val="Heading2"/>
        <w:spacing w:before="320" w:after="160"/>
      </w:pPr>
      <w:r>
        <w:rPr>
          <w:b/>
          <w:bCs/>
          <w:color w:val="154360"/>
          <w:sz w:val="28"/>
          <w:szCs w:val="28"/>
        </w:rPr>
        <w:t xml:space="preserve">4.4 — Serveur en Europe : latence excessive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7E22" w:val="clear"/>
            <w:tcMar>
              <w:top w:type="dxa" w:w="180"/>
              <w:left w:type="dxa" w:w="240"/>
              <w:bottom w:type="dxa" w:w="180"/>
              <w:right w:type="dxa" w:w="240"/>
            </w:tcMar>
          </w:tcPr>
          <w:p>
            <w:r>
              <w:rPr>
                <w:b/>
                <w:bCs/>
                <w:color w:val="FFFFFF"/>
                <w:sz w:val="22"/>
                <w:szCs w:val="22"/>
              </w:rPr>
              <w:t xml:space="preserve">render.yaml déploie sur Frankfurt (EU). Latence depuis Douala : 250-450ms. Pour une urgence médicale, chaque seconde compte.</w:t>
            </w:r>
          </w:p>
        </w:tc>
      </w:tr>
    </w:tbl>
    <w:p>
      <w:pPr>
        <w:spacing w:before="0" w:after="120"/>
      </w:pPr>
    </w:p>
    <w:p>
      <w:pPr>
        <w:spacing w:before="100" w:after="140"/>
        <w:jc w:val="both"/>
      </w:pPr>
      <w:r>
        <w:rPr>
          <w:sz w:val="22"/>
          <w:szCs w:val="22"/>
        </w:rPr>
        <w:t xml:space="preserve">Les alternatives recommandées pour un déploiement optimal :</w:t>
      </w:r>
    </w:p>
    <w:p>
      <w:pPr>
        <w:pStyle w:val="ListParagraph"/>
        <w:numPr>
          <w:ilvl w:val="0"/>
          <w:numId w:val="1"/>
        </w:numPr>
        <w:spacing w:before="60" w:after="60"/>
      </w:pPr>
      <w:r>
        <w:rPr>
          <w:b w:val="false"/>
          <w:bCs w:val="false"/>
          <w:sz w:val="22"/>
          <w:szCs w:val="22"/>
        </w:rPr>
        <w:t xml:space="preserve">AWS Lagos af-south-1 : latence ~60ms depuis Douala. Idéal mais plus coûteux.</w:t>
      </w:r>
    </w:p>
    <w:p>
      <w:pPr>
        <w:pStyle w:val="ListParagraph"/>
        <w:numPr>
          <w:ilvl w:val="0"/>
          <w:numId w:val="1"/>
        </w:numPr>
        <w:spacing w:before="60" w:after="60"/>
      </w:pPr>
      <w:r>
        <w:rPr>
          <w:b w:val="false"/>
          <w:bCs w:val="false"/>
          <w:sz w:val="22"/>
          <w:szCs w:val="22"/>
        </w:rPr>
        <w:t xml:space="preserve">Railway ou Render avec région São Paulo : ~120ms. Bon compromis coût/latence.</w:t>
      </w:r>
    </w:p>
    <w:p>
      <w:pPr>
        <w:pStyle w:val="ListParagraph"/>
        <w:numPr>
          <w:ilvl w:val="0"/>
          <w:numId w:val="1"/>
        </w:numPr>
        <w:spacing w:before="60" w:after="60"/>
      </w:pPr>
      <w:r>
        <w:rPr>
          <w:b/>
          <w:bCs/>
          <w:color w:val="C0392B"/>
          <w:sz w:val="22"/>
          <w:szCs w:val="22"/>
        </w:rPr>
        <w:t xml:space="preserve">VPS OVH Paris + Cloudflare Tunnel : Cloudflare a des PoPs à Douala et Yaoundé, ce qui réduit la latence effective à ~80ms via le cache.</w:t>
      </w:r>
    </w:p>
    <w:p>
      <w:pPr>
        <w:pStyle w:val="ListParagraph"/>
        <w:numPr>
          <w:ilvl w:val="0"/>
          <w:numId w:val="1"/>
        </w:numPr>
        <w:spacing w:before="60" w:after="60"/>
      </w:pPr>
      <w:r>
        <w:rPr>
          <w:b w:val="false"/>
          <w:bCs w:val="false"/>
          <w:sz w:val="22"/>
          <w:szCs w:val="22"/>
        </w:rPr>
        <w:t xml:space="preserve">Hébergement local Camtel DataCenter Yaoundé : option souveraine recommandée pour le partenariat MINSANTÉ, latence &lt;20ms.</w:t>
      </w:r>
    </w:p>
    <w:p>
      <w:pPr>
        <w:spacing w:before="0" w:after="240"/>
      </w:pPr>
    </w:p>
    <w:p>
      <w:pPr>
        <w:pStyle w:val="Heading2"/>
        <w:spacing w:before="320" w:after="160"/>
      </w:pPr>
      <w:r>
        <w:rPr>
          <w:b/>
          <w:bCs/>
          <w:color w:val="154360"/>
          <w:sz w:val="28"/>
          <w:szCs w:val="28"/>
        </w:rPr>
        <w:t xml:space="preserve">4.5 — WhatsApp comme canal de diffusion organique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7E22" w:val="clear"/>
            <w:tcMar>
              <w:top w:type="dxa" w:w="180"/>
              <w:left w:type="dxa" w:w="240"/>
              <w:bottom w:type="dxa" w:w="180"/>
              <w:right w:type="dxa" w:w="240"/>
            </w:tcMar>
          </w:tcPr>
          <w:p>
            <w:r>
              <w:rPr>
                <w:b/>
                <w:bCs/>
                <w:color w:val="FFFFFF"/>
                <w:sz w:val="22"/>
                <w:szCs w:val="22"/>
              </w:rPr>
              <w:t xml:space="preserve">Les associations de donneurs de sang camerounaises fonctionnent déjà sur WhatsApp (groupes de 50-250 personnes). VitaSang ignore complètement cette réalité.</w:t>
            </w:r>
          </w:p>
        </w:tc>
      </w:tr>
    </w:tbl>
    <w:p>
      <w:pPr>
        <w:spacing w:before="0" w:after="120"/>
      </w:pPr>
    </w:p>
    <w:p>
      <w:pPr>
        <w:spacing w:before="100" w:after="140"/>
        <w:jc w:val="both"/>
      </w:pPr>
      <w:r>
        <w:rPr>
          <w:sz w:val="22"/>
          <w:szCs w:val="22"/>
        </w:rPr>
        <w:t xml:space="preserve">Une intégration WhatsApp Business permettrait à VitaSang de s'insérer dans ces réseaux existants. Concrètement : un bouton 'Partager cette alerte sur WhatsApp' avec un message pré-formaté incluant le groupe sanguin, l'hôpital et un lien deep-link vers l'app. En un clic, un donneur enverrait l'alerte à tout son groupe WhatsApp — mécanisme infiniment plus puissant que les notifications push isolées.</w:t>
      </w:r>
    </w:p>
    <w:p>
      <w:pPr>
        <w:spacing w:before="0" w:after="120"/>
      </w:pPr>
    </w:p>
    <w:p>
      <w:pPr>
        <w:pStyle w:val="Heading3"/>
        <w:spacing w:before="240" w:after="120"/>
      </w:pPr>
      <w:r>
        <w:rPr>
          <w:b/>
          <w:bCs/>
          <w:color w:val="1A5276"/>
          <w:sz w:val="24"/>
          <w:szCs w:val="24"/>
        </w:rPr>
        <w:t xml:space="preserve">Format message WhatsApp recommandé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52F" w:val="clear"/>
            <w:tcMar>
              <w:top w:type="dxa" w:w="180"/>
              <w:left w:type="dxa" w:w="240"/>
              <w:bottom w:type="dxa" w:w="180"/>
              <w:right w:type="dxa" w:w="240"/>
            </w:tcMar>
          </w:tcPr>
          <w:p>
            <w:r>
              <w:rPr>
                <w:b/>
                <w:bCs/>
                <w:color w:val="FFFFFF"/>
                <w:sz w:val="22"/>
                <w:szCs w:val="22"/>
              </w:rPr>
              <w:t xml:space="preserve">URGENT — Don de sang
Groupe: O+
Quantité: 3 poches
Hôpital: Laquintinie Douala
Contactez: +237 6XX XXX XXX
Vous pouvez aider sur VitaSang:
https://vitasang.cm/alerte/12345
_Ce message a été envoyé via VitaSang_</w:t>
            </w:r>
          </w:p>
        </w:tc>
      </w:tr>
    </w:tbl>
    <w:p>
      <w:pPr>
        <w:spacing w:before="0" w:after="240"/>
      </w:pPr>
    </w:p>
    <w:p>
      <w:pPr>
        <w:pStyle w:val="Heading2"/>
        <w:spacing w:before="320" w:after="160"/>
      </w:pPr>
      <w:r>
        <w:rPr>
          <w:b/>
          <w:bCs/>
          <w:color w:val="154360"/>
          <w:sz w:val="28"/>
          <w:szCs w:val="28"/>
        </w:rPr>
        <w:t xml:space="preserve">4.6 — Le rôle CNTS est absent du système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80"/>
              <w:left w:type="dxa" w:w="240"/>
              <w:bottom w:type="dxa" w:w="180"/>
              <w:right w:type="dxa" w:w="240"/>
            </w:tcMar>
          </w:tcPr>
          <w:p>
            <w:r>
              <w:rPr>
                <w:b/>
                <w:bCs/>
                <w:color w:val="FFFFFF"/>
                <w:sz w:val="22"/>
                <w:szCs w:val="22"/>
              </w:rPr>
              <w:t xml:space="preserve">Sans intégration du Centre National de Transfusion Sanguine, VitaSang reste une app non-homologuée que les hôpitaux publics ne peuvent pas utiliser officiellement.</w:t>
            </w:r>
          </w:p>
        </w:tc>
      </w:tr>
    </w:tbl>
    <w:p>
      <w:pPr>
        <w:spacing w:before="0" w:after="120"/>
      </w:pPr>
    </w:p>
    <w:p>
      <w:pPr>
        <w:spacing w:before="100" w:after="140"/>
        <w:jc w:val="both"/>
      </w:pPr>
      <w:r>
        <w:rPr>
          <w:sz w:val="22"/>
          <w:szCs w:val="22"/>
        </w:rPr>
        <w:t xml:space="preserve">Le CNTS est l'autorité réglementaire du don de sang au Cameroun. L'architecture doit prévoir un rôle 'cnts' distinct, avec les responsabilités suivantes :</w:t>
      </w:r>
    </w:p>
    <w:p>
      <w:pPr>
        <w:pStyle w:val="ListParagraph"/>
        <w:numPr>
          <w:ilvl w:val="0"/>
          <w:numId w:val="1"/>
        </w:numPr>
        <w:spacing w:before="60" w:after="60"/>
      </w:pPr>
      <w:r>
        <w:rPr>
          <w:b w:val="false"/>
          <w:bCs w:val="false"/>
          <w:sz w:val="22"/>
          <w:szCs w:val="22"/>
        </w:rPr>
        <w:t xml:space="preserve">Valider officiellement les centres (attribution d'un badge MINSANTÉ visible dans l'app)</w:t>
      </w:r>
    </w:p>
    <w:p>
      <w:pPr>
        <w:pStyle w:val="ListParagraph"/>
        <w:numPr>
          <w:ilvl w:val="0"/>
          <w:numId w:val="1"/>
        </w:numPr>
        <w:spacing w:before="60" w:after="60"/>
      </w:pPr>
      <w:r>
        <w:rPr>
          <w:b w:val="false"/>
          <w:bCs w:val="false"/>
          <w:sz w:val="22"/>
          <w:szCs w:val="22"/>
        </w:rPr>
        <w:t xml:space="preserve">Consulter un tableau de bord national agrégé (statistiques par région, par groupe sanguin, par période)</w:t>
      </w:r>
    </w:p>
    <w:p>
      <w:pPr>
        <w:pStyle w:val="ListParagraph"/>
        <w:numPr>
          <w:ilvl w:val="0"/>
          <w:numId w:val="1"/>
        </w:numPr>
        <w:spacing w:before="60" w:after="60"/>
      </w:pPr>
      <w:r>
        <w:rPr>
          <w:b w:val="false"/>
          <w:bCs w:val="false"/>
          <w:sz w:val="22"/>
          <w:szCs w:val="22"/>
        </w:rPr>
        <w:t xml:space="preserve">Approuver les nouveaux centres avant qu'ils puissent valider des alertes</w:t>
      </w:r>
    </w:p>
    <w:p>
      <w:pPr>
        <w:pStyle w:val="ListParagraph"/>
        <w:numPr>
          <w:ilvl w:val="0"/>
          <w:numId w:val="1"/>
        </w:numPr>
        <w:spacing w:before="60" w:after="60"/>
      </w:pPr>
      <w:r>
        <w:rPr>
          <w:b w:val="false"/>
          <w:bCs w:val="false"/>
          <w:sz w:val="22"/>
          <w:szCs w:val="22"/>
        </w:rPr>
        <w:t xml:space="preserve">Déclencher des campagnes de don à l'échelle nationale</w:t>
      </w:r>
    </w:p>
    <w:p>
      <w:pPr>
        <w:spacing w:before="0" w:after="120"/>
      </w:pPr>
    </w:p>
    <w:p>
      <w:pPr>
        <w:pStyle w:val="Heading3"/>
        <w:spacing w:before="240" w:after="120"/>
      </w:pPr>
      <w:r>
        <w:rPr>
          <w:b/>
          <w:bCs/>
          <w:color w:val="1A5276"/>
          <w:sz w:val="24"/>
          <w:szCs w:val="24"/>
        </w:rPr>
        <w:t xml:space="preserve">Ajout dans l'ENUM des rôles (utilisateur.model.js)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52F" w:val="clear"/>
            <w:tcMar>
              <w:top w:type="dxa" w:w="180"/>
              <w:left w:type="dxa" w:w="240"/>
              <w:bottom w:type="dxa" w:w="180"/>
              <w:right w:type="dxa" w:w="240"/>
            </w:tcMar>
          </w:tcPr>
          <w:p>
            <w:r>
              <w:rPr>
                <w:b/>
                <w:bCs/>
                <w:color w:val="FFFFFF"/>
                <w:sz w:val="22"/>
                <w:szCs w:val="22"/>
              </w:rPr>
              <w:t xml:space="preserve">// Avant :
role: { type: DataTypes.ENUM('donneur', 'personnel', 'admin'), defaultValue: 'donneur' }
// Après :
role: { type: DataTypes.ENUM('donneur', 'personnel', 'admin', 'cnts'), defaultValue: 'donneur' }</w:t>
            </w:r>
          </w:p>
        </w:tc>
      </w:tr>
    </w:tbl>
    <w:p>
      <w:pPr>
        <w:spacing w:before="0" w:after="240"/>
      </w:pPr>
    </w:p>
    <w:p>
      <w:r>
        <w:br w:type="page"/>
      </w:r>
    </w:p>
    <w:p>
      <w:pPr>
        <w:pStyle w:val="Heading1"/>
        <w:spacing w:before="400" w:after="200"/>
      </w:pPr>
      <w:r>
        <w:rPr>
          <w:b/>
          <w:bCs/>
          <w:color w:val="1A252F"/>
          <w:sz w:val="36"/>
          <w:szCs w:val="36"/>
        </w:rPr>
        <w:t xml:space="preserve">Section 5 — Améliorations architecturales proposées</w:t>
      </w:r>
    </w:p>
    <w:p>
      <w:pPr>
        <w:spacing w:before="0" w:after="120"/>
      </w:pPr>
    </w:p>
    <w:p>
      <w:pPr>
        <w:pStyle w:val="Heading2"/>
        <w:spacing w:before="320" w:after="160"/>
      </w:pPr>
      <w:r>
        <w:rPr>
          <w:b/>
          <w:bCs/>
          <w:color w:val="154360"/>
          <w:sz w:val="28"/>
          <w:szCs w:val="28"/>
        </w:rPr>
        <w:t xml:space="preserve">5.1 — Mettre en place les migrations Sequelize</w:t>
      </w:r>
    </w:p>
    <w:p>
      <w:pPr>
        <w:spacing w:before="100" w:after="140"/>
        <w:jc w:val="both"/>
      </w:pPr>
      <w:r>
        <w:rPr>
          <w:sz w:val="22"/>
          <w:szCs w:val="22"/>
        </w:rPr>
        <w:t xml:space="preserve">Le projet utilise sync({ force: false }) qui ne met pas à jour les tables existantes. En production, ajouter un champ au modèle ne suffit pas — il faut une migration explicite. Toutes les corrections des Sections 1 et 4 nécessitent des migrations.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52F" w:val="clear"/>
            <w:tcMar>
              <w:top w:type="dxa" w:w="180"/>
              <w:left w:type="dxa" w:w="240"/>
              <w:bottom w:type="dxa" w:w="180"/>
              <w:right w:type="dxa" w:w="240"/>
            </w:tcMar>
          </w:tcPr>
          <w:p>
            <w:r>
              <w:rPr>
                <w:b/>
                <w:bCs/>
                <w:color w:val="FFFFFF"/>
                <w:sz w:val="22"/>
                <w:szCs w:val="22"/>
              </w:rPr>
              <w:t xml:space="preserve"># Initialiser Sequelize CLI si pas déjà fait :
npx sequelize-cli init
# Créer les migrations pour les corrections urgentes :
npx sequelize-cli migration:generate --name add-push-token-to-log-notification
npx sequelize-cli migration:generate --name add-disponible-to-profil-donneur
npx sequelize-cli migration:generate --name add-fk-to-alerte
npx sequelize-cli migration:generate --name add-temp-token-to-alerte
# Appliquer :
npx sequelize-cli db:migrate</w:t>
            </w:r>
          </w:p>
        </w:tc>
      </w:tr>
    </w:tbl>
    <w:p>
      <w:pPr>
        <w:spacing w:before="0" w:after="240"/>
      </w:pPr>
    </w:p>
    <w:p>
      <w:pPr>
        <w:pStyle w:val="Heading2"/>
        <w:spacing w:before="320" w:after="160"/>
      </w:pPr>
      <w:r>
        <w:rPr>
          <w:b/>
          <w:bCs/>
          <w:color w:val="154360"/>
          <w:sz w:val="28"/>
          <w:szCs w:val="28"/>
        </w:rPr>
        <w:t xml:space="preserve">5.2 — Implémenter le feedback temps réel pour le créateur d'alerte</w:t>
      </w:r>
    </w:p>
    <w:p>
      <w:pPr>
        <w:spacing w:before="100" w:after="140"/>
        <w:jc w:val="both"/>
      </w:pPr>
      <w:r>
        <w:rPr>
          <w:sz w:val="22"/>
          <w:szCs w:val="22"/>
        </w:rPr>
        <w:t xml:space="preserve">validateAndNotifyAlert retourne 202 (Accepted) et envoie dans BullMQ. Mais si on appelle getAlertStatus 5 secondes après, les workers n'ont pas encore traité — les stats affichent 0. Sans WebSocket ou polling, l'UX est confuse.</w:t>
      </w:r>
    </w:p>
    <w:p>
      <w:pPr>
        <w:spacing w:before="0" w:after="120"/>
      </w:pPr>
    </w:p>
    <w:p>
      <w:pPr>
        <w:pStyle w:val="ListParagraph"/>
        <w:numPr>
          <w:ilvl w:val="0"/>
          <w:numId w:val="1"/>
        </w:numPr>
        <w:spacing w:before="60" w:after="60"/>
      </w:pPr>
      <w:r>
        <w:rPr>
          <w:b w:val="false"/>
          <w:bCs w:val="false"/>
          <w:sz w:val="22"/>
          <w:szCs w:val="22"/>
        </w:rPr>
        <w:t xml:space="preserve">Option simple : endpoint GET /api/alerts/:id/progress retournant { status, notifiedCount, acceptedCount, lastUpdated }</w:t>
      </w:r>
    </w:p>
    <w:p>
      <w:pPr>
        <w:pStyle w:val="ListParagraph"/>
        <w:numPr>
          <w:ilvl w:val="0"/>
          <w:numId w:val="1"/>
        </w:numPr>
        <w:spacing w:before="60" w:after="60"/>
      </w:pPr>
      <w:r>
        <w:rPr>
          <w:b w:val="false"/>
          <w:bCs w:val="false"/>
          <w:sz w:val="22"/>
          <w:szCs w:val="22"/>
        </w:rPr>
        <w:t xml:space="preserve">Option avancée : Server-Sent Events (SSE) sur le statut d'alerte, sans la complexité de WebSocket</w:t>
      </w:r>
    </w:p>
    <w:p>
      <w:pPr>
        <w:pStyle w:val="ListParagraph"/>
        <w:numPr>
          <w:ilvl w:val="0"/>
          <w:numId w:val="1"/>
        </w:numPr>
        <w:spacing w:before="60" w:after="60"/>
      </w:pPr>
      <w:r>
        <w:rPr>
          <w:b w:val="false"/>
          <w:bCs w:val="false"/>
          <w:sz w:val="22"/>
          <w:szCs w:val="22"/>
        </w:rPr>
        <w:t xml:space="preserve">Option mobile : polling toutes les 10 secondes sur getAlertStatus pendant 5 minutes après création</w:t>
      </w:r>
    </w:p>
    <w:p>
      <w:pPr>
        <w:spacing w:before="0" w:after="240"/>
      </w:pPr>
    </w:p>
    <w:p>
      <w:pPr>
        <w:pStyle w:val="Heading2"/>
        <w:spacing w:before="320" w:after="160"/>
      </w:pPr>
      <w:r>
        <w:rPr>
          <w:b/>
          <w:bCs/>
          <w:color w:val="154360"/>
          <w:sz w:val="28"/>
          <w:szCs w:val="28"/>
        </w:rPr>
        <w:t xml:space="preserve">5.3 — Implémenter le questionnaire d'éligibilité avant don</w:t>
      </w:r>
    </w:p>
    <w:p>
      <w:pPr>
        <w:spacing w:before="100" w:after="140"/>
        <w:jc w:val="both"/>
      </w:pPr>
      <w:r>
        <w:rPr>
          <w:sz w:val="22"/>
          <w:szCs w:val="22"/>
        </w:rPr>
        <w:t xml:space="preserve">Le CDCF mentionne le module 'Auto-Éligibilité : questionnaire (poids, santé) avant chaque don'. Le modèle ProfilDonneur a les champs poids et taille déclarés, mais le questionnaire n'est jamais utilisé dans le flux de réponse à une alerte.</w:t>
      </w:r>
    </w:p>
    <w:p>
      <w:pPr>
        <w:spacing w:before="0" w:after="120"/>
      </w:pPr>
    </w:p>
    <w:p>
      <w:pPr>
        <w:spacing w:before="100" w:after="140"/>
        <w:jc w:val="both"/>
      </w:pPr>
      <w:r>
        <w:rPr>
          <w:sz w:val="22"/>
          <w:szCs w:val="22"/>
        </w:rPr>
        <w:t xml:space="preserve">Avant qu'un donneur confirme sa réponse à une alerte, l'app doit vérifier : date du dernier don (délai respecté ?), disponibilité (champ disponible), et afficher un questionnaire rapide de 3 questions (fièvre ? tension ? médicaments ?). Cela évite d'envoyer des donneurs inéligibles à l'hôpital.</w:t>
      </w:r>
    </w:p>
    <w:p>
      <w:pPr>
        <w:spacing w:before="0" w:after="240"/>
      </w:pPr>
    </w:p>
    <w:p>
      <w:pPr>
        <w:pStyle w:val="Heading2"/>
        <w:spacing w:before="320" w:after="160"/>
      </w:pPr>
      <w:r>
        <w:rPr>
          <w:b/>
          <w:bCs/>
          <w:color w:val="154360"/>
          <w:sz w:val="28"/>
          <w:szCs w:val="28"/>
        </w:rPr>
        <w:t xml:space="preserve">5.4 — Améliorer la sécurité des routes</w:t>
      </w:r>
    </w:p>
    <w:p>
      <w:pPr>
        <w:pStyle w:val="ListParagraph"/>
        <w:numPr>
          <w:ilvl w:val="0"/>
          <w:numId w:val="1"/>
        </w:numPr>
        <w:spacing w:before="60" w:after="60"/>
      </w:pPr>
      <w:r>
        <w:rPr>
          <w:b w:val="false"/>
          <w:bCs w:val="false"/>
          <w:sz w:val="22"/>
          <w:szCs w:val="22"/>
        </w:rPr>
        <w:t xml:space="preserve">Ajouter un rate limiter sur POST /api/alerts (5 alertes/heure par IP)</w:t>
      </w:r>
    </w:p>
    <w:p>
      <w:pPr>
        <w:pStyle w:val="ListParagraph"/>
        <w:numPr>
          <w:ilvl w:val="0"/>
          <w:numId w:val="1"/>
        </w:numPr>
        <w:spacing w:before="60" w:after="60"/>
      </w:pPr>
      <w:r>
        <w:rPr>
          <w:b w:val="false"/>
          <w:bCs w:val="false"/>
          <w:sz w:val="22"/>
          <w:szCs w:val="22"/>
        </w:rPr>
        <w:t xml:space="preserve">Valider que latitude/longitude envoyés au Haversine passent bien par parseFloat() ET par le schéma Joi (déjà en place — continuer)</w:t>
      </w:r>
    </w:p>
    <w:p>
      <w:pPr>
        <w:pStyle w:val="ListParagraph"/>
        <w:numPr>
          <w:ilvl w:val="0"/>
          <w:numId w:val="1"/>
        </w:numPr>
        <w:spacing w:before="60" w:after="60"/>
      </w:pPr>
      <w:r>
        <w:rPr>
          <w:b w:val="false"/>
          <w:bCs w:val="false"/>
          <w:sz w:val="22"/>
          <w:szCs w:val="22"/>
        </w:rPr>
        <w:t xml:space="preserve">Ajouter des headers de sécurité Helmet.js (déjà installé mais configurer strictement)</w:t>
      </w:r>
    </w:p>
    <w:p>
      <w:pPr>
        <w:pStyle w:val="ListParagraph"/>
        <w:numPr>
          <w:ilvl w:val="0"/>
          <w:numId w:val="1"/>
        </w:numPr>
        <w:spacing w:before="60" w:after="60"/>
      </w:pPr>
      <w:r>
        <w:rPr>
          <w:b w:val="false"/>
          <w:bCs w:val="false"/>
          <w:sz w:val="22"/>
          <w:szCs w:val="22"/>
        </w:rPr>
        <w:t xml:space="preserve">Logger les tentatives de création d'alertes répétées depuis la même IP</w:t>
      </w:r>
    </w:p>
    <w:p>
      <w:pPr>
        <w:spacing w:before="0" w:after="240"/>
      </w:pPr>
    </w:p>
    <w:p>
      <w:r>
        <w:br w:type="page"/>
      </w:r>
    </w:p>
    <w:p>
      <w:pPr>
        <w:pStyle w:val="Heading1"/>
        <w:spacing w:before="400" w:after="200"/>
      </w:pPr>
      <w:r>
        <w:rPr>
          <w:b/>
          <w:bCs/>
          <w:color w:val="1A252F"/>
          <w:sz w:val="36"/>
          <w:szCs w:val="36"/>
        </w:rPr>
        <w:t xml:space="preserve">Section 6 — Plan de corrections priorisé</w:t>
      </w:r>
    </w:p>
    <w:p>
      <w:pPr>
        <w:spacing w:before="100" w:after="140"/>
        <w:jc w:val="both"/>
      </w:pPr>
      <w:r>
        <w:rPr>
          <w:sz w:val="22"/>
          <w:szCs w:val="22"/>
        </w:rPr>
        <w:t xml:space="preserve">Classement par ordre de priorité. Commencer par la colonne ROUGE avant le jury.</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80"/>
              <w:left w:type="dxa" w:w="240"/>
              <w:bottom w:type="dxa" w:w="180"/>
              <w:right w:type="dxa" w:w="240"/>
            </w:tcMar>
          </w:tcPr>
          <w:p>
            <w:r>
              <w:rPr>
                <w:b/>
                <w:bCs/>
                <w:color w:val="FFFFFF"/>
                <w:sz w:val="22"/>
                <w:szCs w:val="22"/>
              </w:rPr>
              <w:t xml:space="preserve">PRIORITÉ 1 — Corrections à faire AVANT la soutenance</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3500"/>
        <w:gridCol w:w="2460"/>
      </w:tblGrid>
      <w:tr>
        <w:trPr>
          <w:tblHeader/>
        </w:trPr>
        <w:tc>
          <w:tcPr>
            <w:tcW w:type="dxa" w:w="90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tcPr>
          <w:p>
            <w:pPr>
              <w:jc w:val="center"/>
            </w:pPr>
            <w:r>
              <w:rPr>
                <w:b/>
                <w:bCs/>
                <w:color w:val="FFFFFF"/>
                <w:sz w:val="20"/>
                <w:szCs w:val="20"/>
              </w:rPr>
              <w:t xml:space="preserve">Priorité</w:t>
            </w:r>
          </w:p>
        </w:tc>
        <w:tc>
          <w:tcPr>
            <w:tcW w:type="dxa" w:w="250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tcPr>
          <w:p>
            <w:pPr>
              <w:jc w:val="center"/>
            </w:pPr>
            <w:r>
              <w:rPr>
                <w:b/>
                <w:bCs/>
                <w:color w:val="FFFFFF"/>
                <w:sz w:val="20"/>
                <w:szCs w:val="20"/>
              </w:rPr>
              <w:t xml:space="preserve">Fichier</w:t>
            </w:r>
          </w:p>
        </w:tc>
        <w:tc>
          <w:tcPr>
            <w:tcW w:type="dxa" w:w="350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tcPr>
          <w:p>
            <w:pPr>
              <w:jc w:val="center"/>
            </w:pPr>
            <w:r>
              <w:rPr>
                <w:b/>
                <w:bCs/>
                <w:color w:val="FFFFFF"/>
                <w:sz w:val="20"/>
                <w:szCs w:val="20"/>
              </w:rPr>
              <w:t xml:space="preserve">Correction</w:t>
            </w:r>
          </w:p>
        </w:tc>
        <w:tc>
          <w:tcPr>
            <w:tcW w:type="dxa" w:w="246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tcPr>
          <w:p>
            <w:pPr>
              <w:jc w:val="center"/>
            </w:pPr>
            <w:r>
              <w:rPr>
                <w:b/>
                <w:bCs/>
                <w:color w:val="FFFFFF"/>
                <w:sz w:val="20"/>
                <w:szCs w:val="20"/>
              </w:rPr>
              <w:t xml:space="preserve">Impact</w:t>
            </w:r>
          </w:p>
        </w:tc>
      </w:tr>
      <w:tr>
        <w:tc>
          <w:tcPr>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b/>
                <w:bCs/>
                <w:color w:val="FFFFFF"/>
                <w:sz w:val="20"/>
                <w:szCs w:val="20"/>
              </w:rPr>
              <w:t xml:space="preserve">ROUGE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A252F"/>
                <w:sz w:val="20"/>
                <w:szCs w:val="20"/>
              </w:rPr>
              <w:t xml:space="preserve">log_notification.model.js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Ajouter push_token et details_echec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Notifications jamais confirmées</w:t>
            </w:r>
          </w:p>
        </w:tc>
      </w:tr>
      <w:tr>
        <w:tc>
          <w:tcPr>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b/>
                <w:bCs/>
                <w:color w:val="FFFFFF"/>
                <w:sz w:val="20"/>
                <w:szCs w:val="20"/>
              </w:rPr>
              <w:t xml:space="preserve">ROUGE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A252F"/>
                <w:sz w:val="20"/>
                <w:szCs w:val="20"/>
              </w:rPr>
              <w:t xml:space="preserve">profil_donneur.model.js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Ajouter champ disponible BOOLEAN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Donneurs malades notifiés</w:t>
            </w:r>
          </w:p>
        </w:tc>
      </w:tr>
      <w:tr>
        <w:tc>
          <w:tcPr>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b/>
                <w:bCs/>
                <w:color w:val="FFFFFF"/>
                <w:sz w:val="20"/>
                <w:szCs w:val="20"/>
              </w:rPr>
              <w:t xml:space="preserve">ROUGE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A252F"/>
                <w:sz w:val="20"/>
                <w:szCs w:val="20"/>
              </w:rPr>
              <w:t xml:space="preserve">alerts.routes.js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Ajouter verifyToken sur POST /</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Fausses alertes sans compte</w:t>
            </w:r>
          </w:p>
        </w:tc>
      </w:tr>
      <w:tr>
        <w:tc>
          <w:tcPr>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b/>
                <w:bCs/>
                <w:color w:val="FFFFFF"/>
                <w:sz w:val="20"/>
                <w:szCs w:val="20"/>
              </w:rPr>
              <w:t xml:space="preserve">ROUGE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A252F"/>
                <w:sz w:val="20"/>
                <w:szCs w:val="20"/>
              </w:rPr>
              <w:t xml:space="preserve">alerts.routes.js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requireRole(['admin','personnel'])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Personnel bloqué sur validation</w:t>
            </w:r>
          </w:p>
        </w:tc>
      </w:tr>
      <w:tr>
        <w:tc>
          <w:tcPr>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b/>
                <w:bCs/>
                <w:color w:val="FFFFFF"/>
                <w:sz w:val="20"/>
                <w:szCs w:val="20"/>
              </w:rPr>
              <w:t xml:space="preserve">ROUGE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A252F"/>
                <w:sz w:val="20"/>
                <w:szCs w:val="20"/>
              </w:rPr>
              <w:t xml:space="preserve">validation/schemas.js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Corriger statuts updateAlert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Erreur ENUM en production</w:t>
            </w:r>
          </w:p>
        </w:tc>
      </w:tr>
      <w:tr>
        <w:tc>
          <w:tcPr>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b/>
                <w:bCs/>
                <w:color w:val="FFFFFF"/>
                <w:sz w:val="20"/>
                <w:szCs w:val="20"/>
              </w:rPr>
              <w:t xml:space="preserve">ROUGE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A252F"/>
                <w:sz w:val="20"/>
                <w:szCs w:val="20"/>
              </w:rPr>
              <w:t xml:space="preserve">alerts.controller.js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Corriger 'annulee' → 'annule'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Erreur ENUM deleteAlert</w:t>
            </w:r>
          </w:p>
        </w:tc>
      </w:tr>
      <w:tr>
        <w:tc>
          <w:tcPr>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b/>
                <w:bCs/>
                <w:color w:val="FFFFFF"/>
                <w:sz w:val="20"/>
                <w:szCs w:val="20"/>
              </w:rPr>
              <w:t xml:space="preserve">ROUGE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A252F"/>
                <w:sz w:val="20"/>
                <w:szCs w:val="20"/>
              </w:rPr>
              <w:t xml:space="preserve">render.yaml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Supprimer secrets, régénérer clés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Sécurité compromise GitHub</w:t>
            </w:r>
          </w:p>
        </w:tc>
      </w:tr>
      <w:tr>
        <w:tc>
          <w:tcPr>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b/>
                <w:bCs/>
                <w:color w:val="FFFFFF"/>
                <w:sz w:val="20"/>
                <w:szCs w:val="20"/>
              </w:rPr>
              <w:t xml:space="preserve">ROUGE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A252F"/>
                <w:sz w:val="20"/>
                <w:szCs w:val="20"/>
              </w:rPr>
              <w:t xml:space="preserve">Rapport Tableau 23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Corriger taux dashboard et i18n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Crédibilité jury</w:t>
            </w:r>
          </w:p>
        </w:tc>
      </w:tr>
      <w:tr>
        <w:tc>
          <w:tcPr>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b/>
                <w:bCs/>
                <w:color w:val="FFFFFF"/>
                <w:sz w:val="20"/>
                <w:szCs w:val="20"/>
              </w:rPr>
              <w:t xml:space="preserve">ROUGE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A252F"/>
                <w:sz w:val="20"/>
                <w:szCs w:val="20"/>
              </w:rPr>
              <w:t xml:space="preserve">Rapport budget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2 950 000 → 3 376 000 FCFA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Incohérence mathématique</w:t>
            </w:r>
          </w:p>
        </w:tc>
      </w:tr>
    </w:tbl>
    <w:p>
      <w:pPr>
        <w:spacing w:before="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7E22" w:val="clear"/>
            <w:tcMar>
              <w:top w:type="dxa" w:w="180"/>
              <w:left w:type="dxa" w:w="240"/>
              <w:bottom w:type="dxa" w:w="180"/>
              <w:right w:type="dxa" w:w="240"/>
            </w:tcMar>
          </w:tcPr>
          <w:p>
            <w:r>
              <w:rPr>
                <w:b/>
                <w:bCs/>
                <w:color w:val="FFFFFF"/>
                <w:sz w:val="22"/>
                <w:szCs w:val="22"/>
              </w:rPr>
              <w:t xml:space="preserve">PRIORITÉ 2 — Corrections URGENTES (1-2 semaines)</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3500"/>
        <w:gridCol w:w="2460"/>
      </w:tblGrid>
      <w:tr>
        <w:trPr>
          <w:tblHeader/>
        </w:trPr>
        <w:tc>
          <w:tcPr>
            <w:tcW w:type="dxa" w:w="90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tcPr>
          <w:p>
            <w:pPr>
              <w:jc w:val="center"/>
            </w:pPr>
            <w:r>
              <w:rPr>
                <w:b/>
                <w:bCs/>
                <w:color w:val="FFFFFF"/>
                <w:sz w:val="20"/>
                <w:szCs w:val="20"/>
              </w:rPr>
              <w:t xml:space="preserve">Priorité</w:t>
            </w:r>
          </w:p>
        </w:tc>
        <w:tc>
          <w:tcPr>
            <w:tcW w:type="dxa" w:w="250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tcPr>
          <w:p>
            <w:pPr>
              <w:jc w:val="center"/>
            </w:pPr>
            <w:r>
              <w:rPr>
                <w:b/>
                <w:bCs/>
                <w:color w:val="FFFFFF"/>
                <w:sz w:val="20"/>
                <w:szCs w:val="20"/>
              </w:rPr>
              <w:t xml:space="preserve">Fichier</w:t>
            </w:r>
          </w:p>
        </w:tc>
        <w:tc>
          <w:tcPr>
            <w:tcW w:type="dxa" w:w="350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tcPr>
          <w:p>
            <w:pPr>
              <w:jc w:val="center"/>
            </w:pPr>
            <w:r>
              <w:rPr>
                <w:b/>
                <w:bCs/>
                <w:color w:val="FFFFFF"/>
                <w:sz w:val="20"/>
                <w:szCs w:val="20"/>
              </w:rPr>
              <w:t xml:space="preserve">Correction</w:t>
            </w:r>
          </w:p>
        </w:tc>
        <w:tc>
          <w:tcPr>
            <w:tcW w:type="dxa" w:w="246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tcPr>
          <w:p>
            <w:pPr>
              <w:jc w:val="center"/>
            </w:pPr>
            <w:r>
              <w:rPr>
                <w:b/>
                <w:bCs/>
                <w:color w:val="FFFFFF"/>
                <w:sz w:val="20"/>
                <w:szCs w:val="20"/>
              </w:rPr>
              <w:t xml:space="preserve">Impact</w:t>
            </w:r>
          </w:p>
        </w:tc>
      </w:tr>
      <w:tr>
        <w:tc>
          <w:tcPr>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b/>
                <w:bCs/>
                <w:color w:val="FFFFFF"/>
                <w:sz w:val="20"/>
                <w:szCs w:val="20"/>
              </w:rPr>
              <w:t xml:space="preserve">ORANGE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A252F"/>
                <w:sz w:val="20"/>
                <w:szCs w:val="20"/>
              </w:rPr>
              <w:t xml:space="preserve">centres.controller.js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Créer HistoriqueDon à chaque rdv validé</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Historique toujours vide</w:t>
            </w:r>
          </w:p>
        </w:tc>
      </w:tr>
      <w:tr>
        <w:tc>
          <w:tcPr>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b/>
                <w:bCs/>
                <w:color w:val="FFFFFF"/>
                <w:sz w:val="20"/>
                <w:szCs w:val="20"/>
              </w:rPr>
              <w:t xml:space="preserve">ORANGE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A252F"/>
                <w:sz w:val="20"/>
                <w:szCs w:val="20"/>
              </w:rPr>
              <w:t xml:space="preserve">Appointments.tsx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Corriger URL vers /centres/:id/appointments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Page RDV retourne 404</w:t>
            </w:r>
          </w:p>
        </w:tc>
      </w:tr>
      <w:tr>
        <w:tc>
          <w:tcPr>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b/>
                <w:bCs/>
                <w:color w:val="FFFFFF"/>
                <w:sz w:val="20"/>
                <w:szCs w:val="20"/>
              </w:rPr>
              <w:t xml:space="preserve">ORANGE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A252F"/>
                <w:sz w:val="20"/>
                <w:szCs w:val="20"/>
              </w:rPr>
              <w:t xml:space="preserve">normalizePhone.js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Retirer +237 en plus des espaces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Inscription +237 impossible</w:t>
            </w:r>
          </w:p>
        </w:tc>
      </w:tr>
      <w:tr>
        <w:tc>
          <w:tcPr>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b/>
                <w:bCs/>
                <w:color w:val="FFFFFF"/>
                <w:sz w:val="20"/>
                <w:szCs w:val="20"/>
              </w:rPr>
              <w:t xml:space="preserve">ORANGE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A252F"/>
                <w:sz w:val="20"/>
                <w:szCs w:val="20"/>
              </w:rPr>
              <w:t xml:space="preserve">seed.js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Générer numéros sans +237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Tests incohérents</w:t>
            </w:r>
          </w:p>
        </w:tc>
      </w:tr>
      <w:tr>
        <w:tc>
          <w:tcPr>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b/>
                <w:bCs/>
                <w:color w:val="FFFFFF"/>
                <w:sz w:val="20"/>
                <w:szCs w:val="20"/>
              </w:rPr>
              <w:t xml:space="preserve">ORANGE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A252F"/>
                <w:sz w:val="20"/>
                <w:szCs w:val="20"/>
              </w:rPr>
              <w:t xml:space="preserve">alerte.model.js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Déclarer id_centre et id_initiateur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Stats centre = 0 toujours</w:t>
            </w:r>
          </w:p>
        </w:tc>
      </w:tr>
      <w:tr>
        <w:tc>
          <w:tcPr>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b/>
                <w:bCs/>
                <w:color w:val="FFFFFF"/>
                <w:sz w:val="20"/>
                <w:szCs w:val="20"/>
              </w:rPr>
              <w:t xml:space="preserve">ORANGE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A252F"/>
                <w:sz w:val="20"/>
                <w:szCs w:val="20"/>
              </w:rPr>
              <w:t xml:space="preserve">Rapport Liste Figures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Corriger Figure 5 et ajouter Fig 7-13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Incohérence jury</w:t>
            </w:r>
          </w:p>
        </w:tc>
      </w:tr>
      <w:tr>
        <w:tc>
          <w:tcPr>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b/>
                <w:bCs/>
                <w:color w:val="FFFFFF"/>
                <w:sz w:val="20"/>
                <w:szCs w:val="20"/>
              </w:rPr>
              <w:t xml:space="preserve">ORANGE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A252F"/>
                <w:sz w:val="20"/>
                <w:szCs w:val="20"/>
              </w:rPr>
              <w:t xml:space="preserve">Rapport section 2.5.4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Clarifier Gantt 12sem vs 6 mois réels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Incohérence temporelle</w:t>
            </w:r>
          </w:p>
        </w:tc>
      </w:tr>
      <w:tr>
        <w:tc>
          <w:tcPr>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b/>
                <w:bCs/>
                <w:color w:val="FFFFFF"/>
                <w:sz w:val="20"/>
                <w:szCs w:val="20"/>
              </w:rPr>
              <w:t xml:space="preserve">ORANGE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A252F"/>
                <w:sz w:val="20"/>
                <w:szCs w:val="20"/>
              </w:rPr>
              <w:t xml:space="preserve">Rapport Tableau 11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Corriger formule Productivité COCOMO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Erreur mathématique</w:t>
            </w:r>
          </w:p>
        </w:tc>
      </w:tr>
    </w:tbl>
    <w:p>
      <w:pPr>
        <w:spacing w:before="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80"/>
              <w:left w:type="dxa" w:w="240"/>
              <w:bottom w:type="dxa" w:w="180"/>
              <w:right w:type="dxa" w:w="240"/>
            </w:tcMar>
          </w:tcPr>
          <w:p>
            <w:r>
              <w:rPr>
                <w:b/>
                <w:bCs/>
                <w:color w:val="FFFFFF"/>
                <w:sz w:val="22"/>
                <w:szCs w:val="22"/>
              </w:rPr>
              <w:t xml:space="preserve">PRIORITÉ 3 — Améliorations POST-SOUTENANCE (1-3 mois)</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3500"/>
        <w:gridCol w:w="2460"/>
      </w:tblGrid>
      <w:tr>
        <w:trPr>
          <w:tblHeader/>
        </w:trPr>
        <w:tc>
          <w:tcPr>
            <w:tcW w:type="dxa" w:w="90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tcPr>
          <w:p>
            <w:pPr>
              <w:jc w:val="center"/>
            </w:pPr>
            <w:r>
              <w:rPr>
                <w:b/>
                <w:bCs/>
                <w:color w:val="FFFFFF"/>
                <w:sz w:val="20"/>
                <w:szCs w:val="20"/>
              </w:rPr>
              <w:t xml:space="preserve">Priorité</w:t>
            </w:r>
          </w:p>
        </w:tc>
        <w:tc>
          <w:tcPr>
            <w:tcW w:type="dxa" w:w="250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tcPr>
          <w:p>
            <w:pPr>
              <w:jc w:val="center"/>
            </w:pPr>
            <w:r>
              <w:rPr>
                <w:b/>
                <w:bCs/>
                <w:color w:val="FFFFFF"/>
                <w:sz w:val="20"/>
                <w:szCs w:val="20"/>
              </w:rPr>
              <w:t xml:space="preserve">Fichier</w:t>
            </w:r>
          </w:p>
        </w:tc>
        <w:tc>
          <w:tcPr>
            <w:tcW w:type="dxa" w:w="350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tcPr>
          <w:p>
            <w:pPr>
              <w:jc w:val="center"/>
            </w:pPr>
            <w:r>
              <w:rPr>
                <w:b/>
                <w:bCs/>
                <w:color w:val="FFFFFF"/>
                <w:sz w:val="20"/>
                <w:szCs w:val="20"/>
              </w:rPr>
              <w:t xml:space="preserve">Correction</w:t>
            </w:r>
          </w:p>
        </w:tc>
        <w:tc>
          <w:tcPr>
            <w:tcW w:type="dxa" w:w="2460"/>
            <w:tcBorders>
              <w:top w:val="single" w:color="CCCCCC" w:sz="1"/>
              <w:left w:val="single" w:color="CCCCCC" w:sz="1"/>
              <w:bottom w:val="single" w:color="CCCCCC" w:sz="1"/>
              <w:right w:val="single" w:color="CCCCCC" w:sz="1"/>
            </w:tcBorders>
            <w:shd w:fill="1A252F" w:val="clear"/>
            <w:tcMar>
              <w:top w:type="dxa" w:w="100"/>
              <w:left w:type="dxa" w:w="120"/>
              <w:bottom w:type="dxa" w:w="100"/>
              <w:right w:type="dxa" w:w="120"/>
            </w:tcMar>
          </w:tcPr>
          <w:p>
            <w:pPr>
              <w:jc w:val="center"/>
            </w:pPr>
            <w:r>
              <w:rPr>
                <w:b/>
                <w:bCs/>
                <w:color w:val="FFFFFF"/>
                <w:sz w:val="20"/>
                <w:szCs w:val="20"/>
              </w:rPr>
              <w:t xml:space="preserve">Impact</w:t>
            </w:r>
          </w:p>
        </w:tc>
      </w:tr>
      <w:tr>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BLEU</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A252F"/>
                <w:sz w:val="20"/>
                <w:szCs w:val="20"/>
              </w:rPr>
              <w:t xml:space="preserve">notification.queue.js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Cascade FCM → WhatsApp → SMS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Couverture 40% → 95%</w:t>
            </w:r>
          </w:p>
        </w:tc>
      </w:tr>
      <w:tr>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BLEU</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A252F"/>
                <w:sz w:val="20"/>
                <w:szCs w:val="20"/>
              </w:rPr>
              <w:t xml:space="preserve">createAlert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Géo-validation automatique (rayon 2km)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Éliminer blocage humain</w:t>
            </w:r>
          </w:p>
        </w:tc>
      </w:tr>
      <w:tr>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BLEU</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A252F"/>
                <w:sz w:val="20"/>
                <w:szCs w:val="20"/>
              </w:rPr>
              <w:t xml:space="preserve">createAlert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Mode invité + token temporaire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UX urgence sans compte</w:t>
            </w:r>
          </w:p>
        </w:tc>
      </w:tr>
      <w:tr>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BLEU</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A252F"/>
                <w:sz w:val="20"/>
                <w:szCs w:val="20"/>
              </w:rPr>
              <w:t xml:space="preserve">schemas.js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Groupe sanguin optionnel à l'inscription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Inclusion population</w:t>
            </w:r>
          </w:p>
        </w:tc>
      </w:tr>
      <w:tr>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BLEU</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A252F"/>
                <w:sz w:val="20"/>
                <w:szCs w:val="20"/>
              </w:rPr>
              <w:t xml:space="preserve">utilisateur.model.js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Ajouter rôle 'cnts'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Légitimité institutionnelle</w:t>
            </w:r>
          </w:p>
        </w:tc>
      </w:tr>
      <w:tr>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BLEU</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A252F"/>
                <w:sz w:val="20"/>
                <w:szCs w:val="20"/>
              </w:rPr>
              <w:t xml:space="preserve">geoHelpers.js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Centraliser Haversine SQL (3 fichiers)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Maintenabilité</w:t>
            </w:r>
          </w:p>
        </w:tc>
      </w:tr>
      <w:tr>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BLEU</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A252F"/>
                <w:sz w:val="20"/>
                <w:szCs w:val="20"/>
              </w:rPr>
              <w:t xml:space="preserve">Migrations Sequelize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Remplacer sync() par migrations CLI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Sécurité déploiement</w:t>
            </w:r>
          </w:p>
        </w:tc>
      </w:tr>
      <w:tr>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BLEU</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A252F"/>
                <w:sz w:val="20"/>
                <w:szCs w:val="20"/>
              </w:rPr>
              <w:t xml:space="preserve">Déploiement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Migrer vers région Afrique (AWS Lagos)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A252F"/>
                <w:sz w:val="20"/>
                <w:szCs w:val="20"/>
              </w:rPr>
              <w:t xml:space="preserve">Latence 450ms → 60ms</w:t>
            </w:r>
          </w:p>
        </w:tc>
      </w:tr>
    </w:tbl>
    <w:p>
      <w:pPr>
        <w:spacing w:before="0" w:after="240"/>
      </w:pPr>
    </w:p>
    <w:p>
      <w:r>
        <w:br w:type="page"/>
      </w:r>
    </w:p>
    <w:p>
      <w:pPr>
        <w:pStyle w:val="Heading1"/>
        <w:spacing w:before="400" w:after="200"/>
      </w:pPr>
      <w:r>
        <w:rPr>
          <w:b/>
          <w:bCs/>
          <w:color w:val="1A252F"/>
          <w:sz w:val="36"/>
          <w:szCs w:val="36"/>
        </w:rPr>
        <w:t xml:space="preserve">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80"/>
              <w:left w:type="dxa" w:w="240"/>
              <w:bottom w:type="dxa" w:w="180"/>
              <w:right w:type="dxa" w:w="240"/>
            </w:tcMar>
          </w:tcPr>
          <w:p>
            <w:r>
              <w:rPr>
                <w:b/>
                <w:bCs/>
                <w:color w:val="FFFFFF"/>
                <w:sz w:val="22"/>
                <w:szCs w:val="22"/>
              </w:rPr>
              <w:t xml:space="preserve">Ce que VitaSang fait bien — à valoriser lors de la soutenance</w:t>
            </w:r>
          </w:p>
        </w:tc>
      </w:tr>
    </w:tbl>
    <w:p>
      <w:pPr>
        <w:spacing w:before="0" w:after="120"/>
      </w:pPr>
    </w:p>
    <w:p>
      <w:pPr>
        <w:pStyle w:val="ListParagraph"/>
        <w:numPr>
          <w:ilvl w:val="0"/>
          <w:numId w:val="1"/>
        </w:numPr>
        <w:spacing w:before="60" w:after="60"/>
      </w:pPr>
      <w:r>
        <w:rPr>
          <w:b w:val="false"/>
          <w:bCs w:val="false"/>
          <w:sz w:val="22"/>
          <w:szCs w:val="22"/>
        </w:rPr>
        <w:t xml:space="preserve">Architecture trois couches propre (Mobile / API REST / Dashboard web) — choix professionnel</w:t>
      </w:r>
    </w:p>
    <w:p>
      <w:pPr>
        <w:pStyle w:val="ListParagraph"/>
        <w:numPr>
          <w:ilvl w:val="0"/>
          <w:numId w:val="1"/>
        </w:numPr>
        <w:spacing w:before="60" w:after="60"/>
      </w:pPr>
      <w:r>
        <w:rPr>
          <w:b w:val="false"/>
          <w:bCs w:val="false"/>
          <w:sz w:val="22"/>
          <w:szCs w:val="22"/>
        </w:rPr>
        <w:t xml:space="preserve">BullMQ pour les notifications asynchrones — évite le blocage du thread Node.js</w:t>
      </w:r>
    </w:p>
    <w:p>
      <w:pPr>
        <w:pStyle w:val="ListParagraph"/>
        <w:numPr>
          <w:ilvl w:val="0"/>
          <w:numId w:val="1"/>
        </w:numPr>
        <w:spacing w:before="60" w:after="60"/>
      </w:pPr>
      <w:r>
        <w:rPr>
          <w:b w:val="false"/>
          <w:bCs w:val="false"/>
          <w:sz w:val="22"/>
          <w:szCs w:val="22"/>
        </w:rPr>
        <w:t xml:space="preserve">JWT + Bcrypt + Sequelize ORM — pile de sécurité solide et bien appliquée</w:t>
      </w:r>
    </w:p>
    <w:p>
      <w:pPr>
        <w:pStyle w:val="ListParagraph"/>
        <w:numPr>
          <w:ilvl w:val="0"/>
          <w:numId w:val="1"/>
        </w:numPr>
        <w:spacing w:before="60" w:after="60"/>
      </w:pPr>
      <w:r>
        <w:rPr>
          <w:b w:val="false"/>
          <w:bCs w:val="false"/>
          <w:sz w:val="22"/>
          <w:szCs w:val="22"/>
        </w:rPr>
        <w:t xml:space="preserve">Tests Jest (unitaires + intégration) avec mocks Sequelize — culture de qualité réelle</w:t>
      </w:r>
    </w:p>
    <w:p>
      <w:pPr>
        <w:pStyle w:val="ListParagraph"/>
        <w:numPr>
          <w:ilvl w:val="0"/>
          <w:numId w:val="1"/>
        </w:numPr>
        <w:spacing w:before="60" w:after="60"/>
      </w:pPr>
      <w:r>
        <w:rPr>
          <w:b w:val="false"/>
          <w:bCs w:val="false"/>
          <w:sz w:val="22"/>
          <w:szCs w:val="22"/>
        </w:rPr>
        <w:t xml:space="preserve">Documentation Swagger complète — livrable professionnel</w:t>
      </w:r>
    </w:p>
    <w:p>
      <w:pPr>
        <w:pStyle w:val="ListParagraph"/>
        <w:numPr>
          <w:ilvl w:val="0"/>
          <w:numId w:val="1"/>
        </w:numPr>
        <w:spacing w:before="60" w:after="60"/>
      </w:pPr>
      <w:r>
        <w:rPr>
          <w:b w:val="false"/>
          <w:bCs w:val="false"/>
          <w:sz w:val="22"/>
          <w:szCs w:val="22"/>
        </w:rPr>
        <w:t xml:space="preserve">Dockerfile + PM2 cluster — réflexion sur le déploiement production</w:t>
      </w:r>
    </w:p>
    <w:p>
      <w:pPr>
        <w:pStyle w:val="ListParagraph"/>
        <w:numPr>
          <w:ilvl w:val="0"/>
          <w:numId w:val="1"/>
        </w:numPr>
        <w:spacing w:before="60" w:after="60"/>
      </w:pPr>
      <w:r>
        <w:rPr>
          <w:b w:val="false"/>
          <w:bCs w:val="false"/>
          <w:sz w:val="22"/>
          <w:szCs w:val="22"/>
        </w:rPr>
        <w:t xml:space="preserve">Formule Haversine dans SQL — approche correcte pour la géolocalisation sans bibliothèque externe</w:t>
      </w:r>
    </w:p>
    <w:p>
      <w:pPr>
        <w:spacing w:before="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80"/>
              <w:left w:type="dxa" w:w="240"/>
              <w:bottom w:type="dxa" w:w="180"/>
              <w:right w:type="dxa" w:w="240"/>
            </w:tcMar>
          </w:tcPr>
          <w:p>
            <w:r>
              <w:rPr>
                <w:b/>
                <w:bCs/>
                <w:color w:val="FFFFFF"/>
                <w:sz w:val="22"/>
                <w:szCs w:val="22"/>
              </w:rPr>
              <w:t xml:space="preserve">Synthèse : le projet est sérieux, le code fonctionne, et les bugs identifiés sont tous corrigibles.</w:t>
            </w:r>
          </w:p>
        </w:tc>
      </w:tr>
    </w:tbl>
    <w:p>
      <w:pPr>
        <w:spacing w:before="0" w:after="120"/>
      </w:pPr>
    </w:p>
    <w:p>
      <w:pPr>
        <w:spacing w:before="100" w:after="140"/>
        <w:jc w:val="both"/>
      </w:pPr>
      <w:r>
        <w:rPr>
          <w:sz w:val="22"/>
          <w:szCs w:val="22"/>
        </w:rPr>
        <w:t xml:space="preserve">Les 10 corrections de la Section 1 sont toutes des modifications de quelques lignes chacune. Aucune ne nécessite de refactorisation majeure. En 2-3 jours de travail concentré, l'application peut être dans un état fonctionnel complet, cohérent avec ce que le rapport décrit, et adapté aux réalités du terrain camerounais. Les améliorations de la Section 4 (cascade de notifications, géo-validation, mode invité) représentent le vrai saut de qualité qui transformerait VitaSang d'un projet académique en un outil potentiellement déployable dans les hôpitaux de Douala.</w:t>
      </w:r>
    </w:p>
    <w:p>
      <w:pPr>
        <w:spacing w:before="0" w:after="360"/>
      </w:pPr>
    </w:p>
    <w:p>
      <w:pPr>
        <w:jc w:val="center"/>
      </w:pPr>
      <w:r>
        <w:rPr>
          <w:i/>
          <w:iCs/>
          <w:color w:val="566573"/>
          <w:sz w:val="22"/>
          <w:szCs w:val="22"/>
        </w:rPr>
        <w:t xml:space="preserve">— Fin du document —</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CCCCCC" w:sz="4" w:space="4"/>
      </w:pBdr>
      <w:spacing w:before="400" w:after="200"/>
      <w:outlineLvl w:val="0"/>
    </w:pPr>
    <w:rPr>
      <w:rFonts w:ascii="Arial" w:cs="Arial" w:eastAsia="Arial" w:hAnsi="Arial"/>
      <w:b/>
      <w:bCs/>
      <w:color w:val="1A252F"/>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5436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2026-03-20T13:35:39.787Z</dcterms:created>
  <dcterms:modified xsi:type="dcterms:W3CDTF">2026-03-20T13:35:39.788Z</dcterms:modified>
</cp:coreProperties>
</file>

<file path=docProps/custom.xml><?xml version="1.0" encoding="utf-8"?>
<Properties xmlns="http://schemas.openxmlformats.org/officeDocument/2006/custom-properties" xmlns:vt="http://schemas.openxmlformats.org/officeDocument/2006/docPropsVTypes"/>
</file>