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4F83" w:rsidRDefault="008C4F83">
      <w:pPr>
        <w:spacing w:before="1800"/>
      </w:pPr>
    </w:p>
    <w:p w:rsidR="008C4F83" w:rsidRDefault="00D927F9">
      <w:pPr>
        <w:spacing w:after="200"/>
        <w:jc w:val="center"/>
      </w:pPr>
      <w:r>
        <w:rPr>
          <w:b/>
          <w:bCs/>
          <w:color w:val="2E75B6"/>
          <w:sz w:val="28"/>
          <w:szCs w:val="28"/>
        </w:rPr>
        <w:t>LIVRABLE 04</w:t>
      </w:r>
    </w:p>
    <w:p w:rsidR="008C4F83" w:rsidRDefault="00D927F9">
      <w:pPr>
        <w:spacing w:after="200"/>
        <w:jc w:val="center"/>
      </w:pPr>
      <w:r>
        <w:rPr>
          <w:b/>
          <w:bCs/>
          <w:color w:val="1F3A5F"/>
          <w:sz w:val="48"/>
          <w:szCs w:val="48"/>
        </w:rPr>
        <w:t>Benchmark des solutions</w:t>
      </w:r>
    </w:p>
    <w:p w:rsidR="008C4F83" w:rsidRDefault="00D927F9">
      <w:pPr>
        <w:spacing w:after="800"/>
        <w:jc w:val="center"/>
      </w:pPr>
      <w:r>
        <w:rPr>
          <w:i/>
          <w:iCs/>
          <w:color w:val="5A6B7C"/>
          <w:sz w:val="28"/>
          <w:szCs w:val="28"/>
        </w:rPr>
        <w:t>Comparatif argumente des solutions IA et BI</w:t>
      </w:r>
    </w:p>
    <w:p w:rsidR="008C4F83" w:rsidRDefault="00D927F9">
      <w:pPr>
        <w:spacing w:after="400"/>
        <w:jc w:val="center"/>
      </w:pPr>
      <w:r>
        <w:rPr>
          <w:color w:val="2E75B6"/>
        </w:rPr>
        <w:t>━━━━━━━━━━━━━━━━━━━━━━━━━━━━━━━━━━━</w:t>
      </w:r>
    </w:p>
    <w:p w:rsidR="008C4F83" w:rsidRDefault="00D927F9">
      <w:pPr>
        <w:spacing w:after="120"/>
        <w:jc w:val="center"/>
      </w:pPr>
      <w:r>
        <w:rPr>
          <w:b/>
          <w:bCs/>
          <w:sz w:val="28"/>
          <w:szCs w:val="28"/>
        </w:rPr>
        <w:t>Projet MECHA</w:t>
      </w:r>
    </w:p>
    <w:p w:rsidR="008C4F83" w:rsidRDefault="00D927F9">
      <w:pPr>
        <w:spacing w:after="400"/>
        <w:jc w:val="center"/>
      </w:pPr>
      <w:r>
        <w:rPr>
          <w:i/>
          <w:iCs/>
          <w:color w:val="5A6B7C"/>
          <w:sz w:val="24"/>
          <w:szCs w:val="24"/>
        </w:rPr>
        <w:t>PoC Pilotage industriel et IA predictive</w:t>
      </w:r>
    </w:p>
    <w:p w:rsidR="008C4F83" w:rsidRDefault="00D927F9">
      <w:pPr>
        <w:spacing w:after="120"/>
        <w:jc w:val="center"/>
      </w:pPr>
      <w:r>
        <w:t>MSPR TPRE831 - Bloc 3</w:t>
      </w:r>
    </w:p>
    <w:p w:rsidR="008C4F83" w:rsidRDefault="00D927F9">
      <w:pPr>
        <w:spacing w:after="600"/>
        <w:jc w:val="center"/>
      </w:pPr>
      <w:r>
        <w:rPr>
          <w:color w:val="5A6B7C"/>
          <w:sz w:val="20"/>
          <w:szCs w:val="20"/>
        </w:rPr>
        <w:t>Certification RNCP 35584 - Expert en Informatique et Systeme d'Information</w:t>
      </w:r>
    </w:p>
    <w:p w:rsidR="008C4F83" w:rsidRDefault="00D927F9">
      <w:pPr>
        <w:spacing w:after="400"/>
        <w:jc w:val="center"/>
      </w:pPr>
      <w:r>
        <w:rPr>
          <w:color w:val="2E75B6"/>
        </w:rPr>
        <w:t>━━━━━━━━━━━━━━━━━━━━━━━━━━━━━━━━━━━</w:t>
      </w:r>
    </w:p>
    <w:p w:rsidR="008C4F83" w:rsidRDefault="00D927F9">
      <w:pPr>
        <w:spacing w:after="160"/>
        <w:jc w:val="center"/>
      </w:pPr>
      <w:r>
        <w:rPr>
          <w:b/>
          <w:bCs/>
        </w:rPr>
        <w:t>Equipe projet</w:t>
      </w:r>
    </w:p>
    <w:p w:rsidR="008C4F83" w:rsidRDefault="00D927F9">
      <w:pPr>
        <w:spacing w:after="80"/>
        <w:jc w:val="center"/>
      </w:pPr>
      <w:r>
        <w:rPr>
          <w:b/>
          <w:bCs/>
          <w:sz w:val="24"/>
          <w:szCs w:val="24"/>
        </w:rPr>
        <w:t>Romaric TCHOFFO</w:t>
      </w:r>
    </w:p>
    <w:p w:rsidR="008C4F83" w:rsidRDefault="00FE3DB2">
      <w:pPr>
        <w:spacing w:after="600"/>
        <w:jc w:val="center"/>
      </w:pPr>
      <w:r>
        <w:rPr>
          <w:b/>
          <w:bCs/>
          <w:sz w:val="24"/>
          <w:szCs w:val="24"/>
        </w:rPr>
        <w:t>Emmanuel AN</w:t>
      </w:r>
      <w:bookmarkStart w:id="0" w:name="_GoBack"/>
      <w:bookmarkEnd w:id="0"/>
      <w:r w:rsidR="00D927F9">
        <w:rPr>
          <w:b/>
          <w:bCs/>
          <w:sz w:val="24"/>
          <w:szCs w:val="24"/>
        </w:rPr>
        <w:t>EGA</w:t>
      </w:r>
    </w:p>
    <w:p w:rsidR="008C4F83" w:rsidRDefault="00D927F9">
      <w:pPr>
        <w:jc w:val="center"/>
      </w:pPr>
      <w:r>
        <w:rPr>
          <w:color w:val="5A6B7C"/>
          <w:sz w:val="20"/>
          <w:szCs w:val="20"/>
        </w:rPr>
        <w:t>EPSI - Mastere Expert en Intelligence Artificielle - 2025/2026</w:t>
      </w:r>
    </w:p>
    <w:p w:rsidR="008C4F83" w:rsidRDefault="008C4F83">
      <w:pPr>
        <w:jc w:val="center"/>
      </w:pPr>
    </w:p>
    <w:p w:rsidR="008C4F83" w:rsidRDefault="00D927F9">
      <w:pPr>
        <w:jc w:val="center"/>
      </w:pPr>
      <w:r>
        <w:rPr>
          <w:rFonts w:ascii="Arial" w:hAnsi="Arial"/>
          <w:color w:val="555555"/>
        </w:rPr>
        <w:t>Coach pédagogique</w:t>
      </w:r>
    </w:p>
    <w:p w:rsidR="008C4F83" w:rsidRDefault="00D927F9">
      <w:pPr>
        <w:jc w:val="center"/>
      </w:pPr>
      <w:r>
        <w:rPr>
          <w:rFonts w:ascii="Arial" w:hAnsi="Arial"/>
          <w:b/>
          <w:color w:val="E31B23"/>
          <w:sz w:val="28"/>
        </w:rPr>
        <w:t>Tesnim CHARRAD</w:t>
      </w:r>
    </w:p>
    <w:p w:rsidR="008C4F83" w:rsidRDefault="008C4F83">
      <w:pPr>
        <w:jc w:val="center"/>
      </w:pPr>
    </w:p>
    <w:p w:rsidR="008C4F83" w:rsidRDefault="00D927F9">
      <w:pPr>
        <w:pStyle w:val="Titre1"/>
        <w:pageBreakBefore/>
      </w:pPr>
      <w:bookmarkStart w:id="1" w:name="_Toc228881836"/>
      <w:r>
        <w:lastRenderedPageBreak/>
        <w:t>Sommaire</w:t>
      </w:r>
      <w:bookmarkEnd w:id="1"/>
    </w:p>
    <w:sdt>
      <w:sdtPr>
        <w:alias w:val="Table des matieres"/>
        <w:id w:val="-595869625"/>
      </w:sdtPr>
      <w:sdtEndPr/>
      <w:sdtContent>
        <w:p w:rsidR="00FE3DB2" w:rsidRDefault="00D927F9">
          <w:pPr>
            <w:pStyle w:val="TM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8881836" w:history="1">
            <w:r w:rsidR="00FE3DB2" w:rsidRPr="0099353F">
              <w:rPr>
                <w:rStyle w:val="Lienhypertexte"/>
                <w:noProof/>
              </w:rPr>
              <w:t>Sommaire</w:t>
            </w:r>
            <w:r w:rsidR="00FE3DB2">
              <w:rPr>
                <w:noProof/>
              </w:rPr>
              <w:tab/>
            </w:r>
            <w:r w:rsidR="00FE3DB2">
              <w:rPr>
                <w:noProof/>
              </w:rPr>
              <w:fldChar w:fldCharType="begin"/>
            </w:r>
            <w:r w:rsidR="00FE3DB2">
              <w:rPr>
                <w:noProof/>
              </w:rPr>
              <w:instrText xml:space="preserve"> PAGEREF _Toc228881836 \h </w:instrText>
            </w:r>
            <w:r w:rsidR="00FE3DB2">
              <w:rPr>
                <w:noProof/>
              </w:rPr>
            </w:r>
            <w:r w:rsidR="00FE3DB2">
              <w:rPr>
                <w:noProof/>
              </w:rPr>
              <w:fldChar w:fldCharType="separate"/>
            </w:r>
            <w:r w:rsidR="00FE3DB2">
              <w:rPr>
                <w:noProof/>
              </w:rPr>
              <w:t>2</w:t>
            </w:r>
            <w:r w:rsidR="00FE3DB2"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837" w:history="1">
            <w:r w:rsidRPr="0099353F">
              <w:rPr>
                <w:rStyle w:val="Lienhypertexte"/>
                <w:noProof/>
              </w:rPr>
              <w:t>1. Introduction et methodologie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38" w:history="1">
            <w:r w:rsidRPr="0099353F">
              <w:rPr>
                <w:rStyle w:val="Lienhypertexte"/>
                <w:noProof/>
              </w:rPr>
              <w:t>1.1. Objet du benchmark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39" w:history="1">
            <w:r w:rsidRPr="0099353F">
              <w:rPr>
                <w:rStyle w:val="Lienhypertexte"/>
                <w:noProof/>
              </w:rPr>
              <w:t>1.2. Criteres d'evaluation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40" w:history="1">
            <w:r w:rsidRPr="0099353F">
              <w:rPr>
                <w:rStyle w:val="Lienhypertexte"/>
                <w:noProof/>
              </w:rPr>
              <w:t>1.3. Notation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841" w:history="1">
            <w:r w:rsidRPr="0099353F">
              <w:rPr>
                <w:rStyle w:val="Lienhypertexte"/>
                <w:noProof/>
              </w:rPr>
              <w:t>2. Plateformes de donnees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42" w:history="1">
            <w:r w:rsidRPr="0099353F">
              <w:rPr>
                <w:rStyle w:val="Lienhypertexte"/>
                <w:noProof/>
              </w:rPr>
              <w:t>2.1. Solutions candidates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43" w:history="1">
            <w:r w:rsidRPr="0099353F">
              <w:rPr>
                <w:rStyle w:val="Lienhypertexte"/>
                <w:noProof/>
              </w:rPr>
              <w:t>2.2. Analyse comparative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8881844" w:history="1">
            <w:r w:rsidRPr="0099353F">
              <w:rPr>
                <w:rStyle w:val="Lienhypertexte"/>
                <w:noProof/>
              </w:rPr>
              <w:t>2.2.1. Python + Parquet + DuckDB (retenu pour le PoC)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8881845" w:history="1">
            <w:r w:rsidRPr="0099353F">
              <w:rPr>
                <w:rStyle w:val="Lienhypertexte"/>
                <w:noProof/>
              </w:rPr>
              <w:t>2.2.2. Postgres + Airflow + Superset (alternative open source)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8881846" w:history="1">
            <w:r w:rsidRPr="0099353F">
              <w:rPr>
                <w:rStyle w:val="Lienhypertexte"/>
                <w:noProof/>
              </w:rPr>
              <w:t>2.2.3. Databricks Lakehouse (solution cloud managee)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47" w:history="1">
            <w:r w:rsidRPr="0099353F">
              <w:rPr>
                <w:rStyle w:val="Lienhypertexte"/>
                <w:noProof/>
              </w:rPr>
              <w:t>2.3. Synthese et recommandation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848" w:history="1">
            <w:r w:rsidRPr="0099353F">
              <w:rPr>
                <w:rStyle w:val="Lienhypertexte"/>
                <w:noProof/>
              </w:rPr>
              <w:t>3. Frameworks de machine learning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49" w:history="1">
            <w:r w:rsidRPr="0099353F">
              <w:rPr>
                <w:rStyle w:val="Lienhypertexte"/>
                <w:noProof/>
              </w:rPr>
              <w:t>3.1. Solutions candidates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50" w:history="1">
            <w:r w:rsidRPr="0099353F">
              <w:rPr>
                <w:rStyle w:val="Lienhypertexte"/>
                <w:noProof/>
              </w:rPr>
              <w:t>3.2. Analyse comparative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8881851" w:history="1">
            <w:r w:rsidRPr="0099353F">
              <w:rPr>
                <w:rStyle w:val="Lienhypertexte"/>
                <w:noProof/>
              </w:rPr>
              <w:t>3.2.1. scikit-learn + XGBoost (retenu)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8881852" w:history="1">
            <w:r w:rsidRPr="0099353F">
              <w:rPr>
                <w:rStyle w:val="Lienhypertexte"/>
                <w:noProof/>
              </w:rPr>
              <w:t>3.2.2. AutoML (FLAML, H2O, Auto-sklearn)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8881853" w:history="1">
            <w:r w:rsidRPr="0099353F">
              <w:rPr>
                <w:rStyle w:val="Lienhypertexte"/>
                <w:noProof/>
              </w:rPr>
              <w:t>3.2.3. Deep Learning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54" w:history="1">
            <w:r w:rsidRPr="0099353F">
              <w:rPr>
                <w:rStyle w:val="Lienhypertexte"/>
                <w:noProof/>
              </w:rPr>
              <w:t>3.3. Synthese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855" w:history="1">
            <w:r w:rsidRPr="0099353F">
              <w:rPr>
                <w:rStyle w:val="Lienhypertexte"/>
                <w:noProof/>
              </w:rPr>
              <w:t>4. Outils de tracking et MLOps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56" w:history="1">
            <w:r w:rsidRPr="0099353F">
              <w:rPr>
                <w:rStyle w:val="Lienhypertexte"/>
                <w:noProof/>
              </w:rPr>
              <w:t>4.1. Solutions candidates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57" w:history="1">
            <w:r w:rsidRPr="0099353F">
              <w:rPr>
                <w:rStyle w:val="Lienhypertexte"/>
                <w:noProof/>
              </w:rPr>
              <w:t>4.2. Analyse comparative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58" w:history="1">
            <w:r w:rsidRPr="0099353F">
              <w:rPr>
                <w:rStyle w:val="Lienhypertexte"/>
                <w:noProof/>
              </w:rPr>
              <w:t>4.3. Recommandation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859" w:history="1">
            <w:r w:rsidRPr="0099353F">
              <w:rPr>
                <w:rStyle w:val="Lienhypertexte"/>
                <w:noProof/>
              </w:rPr>
              <w:t>5. Outils de restitution BI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60" w:history="1">
            <w:r w:rsidRPr="0099353F">
              <w:rPr>
                <w:rStyle w:val="Lienhypertexte"/>
                <w:noProof/>
              </w:rPr>
              <w:t>5.1. Typologies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61" w:history="1">
            <w:r w:rsidRPr="0099353F">
              <w:rPr>
                <w:rStyle w:val="Lienhypertexte"/>
                <w:noProof/>
              </w:rPr>
              <w:t>5.2. Analyse comparative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62" w:history="1">
            <w:r w:rsidRPr="0099353F">
              <w:rPr>
                <w:rStyle w:val="Lienhypertexte"/>
                <w:noProof/>
              </w:rPr>
              <w:t>5.3. Recommandation par phase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863" w:history="1">
            <w:r w:rsidRPr="0099353F">
              <w:rPr>
                <w:rStyle w:val="Lienhypertexte"/>
                <w:noProof/>
              </w:rPr>
              <w:t>6. Stack recommandee et synthese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64" w:history="1">
            <w:r w:rsidRPr="0099353F">
              <w:rPr>
                <w:rStyle w:val="Lienhypertexte"/>
                <w:noProof/>
              </w:rPr>
              <w:t>6.1. Stack MECHA par phase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65" w:history="1">
            <w:r w:rsidRPr="0099353F">
              <w:rPr>
                <w:rStyle w:val="Lienhypertexte"/>
                <w:noProof/>
              </w:rPr>
              <w:t>6.2. Principes directeurs des choix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FE3DB2" w:rsidRDefault="00FE3D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866" w:history="1">
            <w:r w:rsidRPr="0099353F">
              <w:rPr>
                <w:rStyle w:val="Lienhypertexte"/>
                <w:noProof/>
              </w:rPr>
              <w:t>6.3. Cout total estime par phase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_Toc228881866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8C4F83" w:rsidRDefault="00D927F9">
          <w:r>
            <w:fldChar w:fldCharType="end"/>
          </w:r>
        </w:p>
      </w:sdtContent>
    </w:sdt>
    <w:p w:rsidR="008C4F83" w:rsidRDefault="00D927F9">
      <w:pPr>
        <w:pStyle w:val="Titre1"/>
        <w:pageBreakBefore/>
      </w:pPr>
      <w:bookmarkStart w:id="2" w:name="_Toc228881837"/>
      <w:r>
        <w:lastRenderedPageBreak/>
        <w:t>1. Introduction et methodologie</w:t>
      </w:r>
      <w:bookmarkEnd w:id="2"/>
    </w:p>
    <w:p w:rsidR="008C4F83" w:rsidRDefault="00D927F9">
      <w:pPr>
        <w:pStyle w:val="Titre2"/>
      </w:pPr>
      <w:bookmarkStart w:id="3" w:name="_Toc228881838"/>
      <w:r>
        <w:t>1.1. Objet du benchmark</w:t>
      </w:r>
      <w:bookmarkEnd w:id="3"/>
    </w:p>
    <w:p w:rsidR="008C4F83" w:rsidRDefault="00D927F9">
      <w:pPr>
        <w:spacing w:after="120" w:line="300" w:lineRule="auto"/>
        <w:jc w:val="both"/>
      </w:pPr>
      <w:r>
        <w:t>Le present document compare les principales solutions techniques envisageables pour le projet MECHA, couvrant les quatre briques majeures de la chaine decisionnelle : plateforme data, moteur analytique, framework de machine learning et outil de restitution</w:t>
      </w:r>
      <w:r>
        <w:t>. L'objectif est de justifier les choix retenus pour le PoC et de tracer une trajectoire claire vers l'industrialisation.</w:t>
      </w:r>
    </w:p>
    <w:p w:rsidR="008C4F83" w:rsidRDefault="00D927F9">
      <w:pPr>
        <w:spacing w:after="120" w:line="300" w:lineRule="auto"/>
        <w:jc w:val="both"/>
      </w:pPr>
      <w:r>
        <w:t>Chaque famille de solution est evaluee selon une grille multicriteres homogene, permettant une comparaison argumentee et reproductible</w:t>
      </w:r>
      <w:r>
        <w:t>.</w:t>
      </w:r>
    </w:p>
    <w:p w:rsidR="008C4F83" w:rsidRDefault="00D927F9">
      <w:pPr>
        <w:pStyle w:val="Titre2"/>
      </w:pPr>
      <w:bookmarkStart w:id="4" w:name="_Toc228881839"/>
      <w:r>
        <w:t>1.2. Criteres d'evaluation</w:t>
      </w:r>
      <w:bookmarkEnd w:id="4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960"/>
      </w:tblGrid>
      <w:tr w:rsidR="008C4F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Critere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Fonctionnalite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Couverture des besoins fonctionnels du PoC et de la phase pilote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Capacite a traiter les volumes attendus dans des temps acceptables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Maturite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Anciennete sur le marche, adoption industrielle, stabilite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Ecosysteme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Communaute, documentation, disponibilite de competences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Cout total de possession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Licenses, infrastructure, exploitation, competences internes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Facilite d'integration avec les autres briques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Scalabilite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Capacite de montee en charge a l'echelle groupe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Gouvernance et securite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Gestion des droits, conformite reglementaire, audit</w:t>
            </w:r>
          </w:p>
        </w:tc>
      </w:tr>
    </w:tbl>
    <w:p w:rsidR="008C4F83" w:rsidRDefault="008C4F83">
      <w:pPr>
        <w:spacing w:after="200"/>
      </w:pPr>
    </w:p>
    <w:p w:rsidR="008C4F83" w:rsidRDefault="00D927F9">
      <w:pPr>
        <w:pStyle w:val="Titre2"/>
      </w:pPr>
      <w:bookmarkStart w:id="5" w:name="_Toc228881840"/>
      <w:r>
        <w:t>1.3. Notation</w:t>
      </w:r>
      <w:bookmarkEnd w:id="5"/>
    </w:p>
    <w:p w:rsidR="008C4F83" w:rsidRDefault="00D927F9">
      <w:pPr>
        <w:spacing w:after="120" w:line="300" w:lineRule="auto"/>
        <w:jc w:val="both"/>
      </w:pPr>
      <w:r>
        <w:t>Chaque critere est note sur une echelle de 1 (tres insuffisant) a 5 (excellent). La note finale est ponderee selon le poids de chaque critere dans le contexte MECHA.</w:t>
      </w:r>
    </w:p>
    <w:p w:rsidR="008C4F83" w:rsidRDefault="00D927F9">
      <w:pPr>
        <w:pStyle w:val="Titre1"/>
        <w:pageBreakBefore/>
      </w:pPr>
      <w:bookmarkStart w:id="6" w:name="_Toc228881841"/>
      <w:r>
        <w:lastRenderedPageBreak/>
        <w:t>2. Plateformes de donnees</w:t>
      </w:r>
      <w:bookmarkEnd w:id="6"/>
    </w:p>
    <w:p w:rsidR="008C4F83" w:rsidRDefault="00D927F9">
      <w:pPr>
        <w:pStyle w:val="Titre2"/>
      </w:pPr>
      <w:bookmarkStart w:id="7" w:name="_Toc228881842"/>
      <w:r>
        <w:t>2.1. Solutions candidates</w:t>
      </w:r>
      <w:bookmarkEnd w:id="7"/>
    </w:p>
    <w:p w:rsidR="008C4F83" w:rsidRDefault="00D927F9">
      <w:pPr>
        <w:spacing w:after="120" w:line="300" w:lineRule="auto"/>
        <w:jc w:val="both"/>
      </w:pPr>
      <w:r>
        <w:t>Trois approches principales ont ete co</w:t>
      </w:r>
      <w:r>
        <w:t>nsiderees pour structurer la plateforme data MECHA :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Approche embarquee leger : Python + Parquet + DuckDB, tout local.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Approche open source auto-geree : Postgres + Airflow + Superset, stack deployee en interne.</w:t>
      </w:r>
    </w:p>
    <w:p w:rsidR="008C4F83" w:rsidRPr="00FE3DB2" w:rsidRDefault="00D927F9">
      <w:pPr>
        <w:pStyle w:val="Paragraphedeliste"/>
        <w:numPr>
          <w:ilvl w:val="0"/>
          <w:numId w:val="2"/>
        </w:numPr>
        <w:spacing w:after="80" w:line="280" w:lineRule="auto"/>
        <w:rPr>
          <w:lang w:val="en-US"/>
        </w:rPr>
      </w:pPr>
      <w:r w:rsidRPr="00FE3DB2">
        <w:rPr>
          <w:lang w:val="en-US"/>
        </w:rPr>
        <w:t>Approche cloud managee : Databricks Lakehouse</w:t>
      </w:r>
      <w:r w:rsidRPr="00FE3DB2">
        <w:rPr>
          <w:lang w:val="en-US"/>
        </w:rPr>
        <w:t xml:space="preserve"> Platform (ou Snowflake, BigQuery).</w:t>
      </w:r>
    </w:p>
    <w:p w:rsidR="008C4F83" w:rsidRDefault="00D927F9">
      <w:pPr>
        <w:pStyle w:val="Titre2"/>
      </w:pPr>
      <w:bookmarkStart w:id="8" w:name="_Toc228881843"/>
      <w:r>
        <w:t>2.2. Analyse comparative</w:t>
      </w:r>
      <w:bookmarkEnd w:id="8"/>
    </w:p>
    <w:p w:rsidR="008C4F83" w:rsidRDefault="00D927F9">
      <w:pPr>
        <w:pStyle w:val="Titre3"/>
      </w:pPr>
      <w:bookmarkStart w:id="9" w:name="_Toc228881844"/>
      <w:r>
        <w:t>2.2.1. Python + Parquet + DuckDB (retenu pour le PoC)</w:t>
      </w:r>
      <w:bookmarkEnd w:id="9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5760"/>
      </w:tblGrid>
      <w:tr w:rsidR="008C4F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Critere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Note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Commentaire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Fonctionnalite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4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Suffit au PoC, lacunes sur multi-tenant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4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Excellent sur moins de 100 Go, SQL rapide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Maturite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3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DuckDB recent mais en forte croissance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Ecosysteme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4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Documentation complete, communaute active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Cout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Open source integral, pas de licences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Natif Python, Pandas, Arrow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Scalabilite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2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Limite a la machine, non distribue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Securite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2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Pas de RBAC natif, auth a construire</w:t>
            </w:r>
          </w:p>
        </w:tc>
      </w:tr>
    </w:tbl>
    <w:p w:rsidR="008C4F83" w:rsidRDefault="008C4F83">
      <w:pPr>
        <w:spacing w:after="200"/>
      </w:pPr>
    </w:p>
    <w:p w:rsidR="008C4F83" w:rsidRDefault="00D927F9">
      <w:pPr>
        <w:spacing w:after="120" w:line="300" w:lineRule="auto"/>
        <w:jc w:val="both"/>
      </w:pPr>
      <w:r>
        <w:t>Verdict : solution ideale pour le PoC et la phase pilote. Migration vers une solution distribuee (Databricks ou Snowflake) a envisager en phase de generalisation si les volumes depassent 100 Go compresses.</w:t>
      </w:r>
    </w:p>
    <w:p w:rsidR="008C4F83" w:rsidRPr="00FE3DB2" w:rsidRDefault="00D927F9">
      <w:pPr>
        <w:pStyle w:val="Titre3"/>
        <w:rPr>
          <w:lang w:val="en-US"/>
        </w:rPr>
      </w:pPr>
      <w:bookmarkStart w:id="10" w:name="_Toc228881845"/>
      <w:r w:rsidRPr="00FE3DB2">
        <w:rPr>
          <w:lang w:val="en-US"/>
        </w:rPr>
        <w:t>2.2.2. Postgres + Airflow + Superset (alternative open source)</w:t>
      </w:r>
      <w:bookmarkEnd w:id="10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5760"/>
      </w:tblGrid>
      <w:tr w:rsidR="008C4F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Critere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Note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Commentaire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Fonctionnalite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4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Stack complete, couvre bien les besoins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3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Postgres limite en analytique pure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Maturite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Stack tres eprouvee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Ecosysteme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Communautes tres actives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Cout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4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Open source mais infrastructure et exploitation a prevoir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4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Standard, interoperable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Scalabilite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3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Postgres scalable jusqu'a quelques TB, puis limites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lastRenderedPageBreak/>
              <w:t>Securite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RBAC mature, reconnu</w:t>
            </w:r>
          </w:p>
        </w:tc>
      </w:tr>
    </w:tbl>
    <w:p w:rsidR="008C4F83" w:rsidRDefault="008C4F83">
      <w:pPr>
        <w:spacing w:after="200"/>
      </w:pPr>
    </w:p>
    <w:p w:rsidR="008C4F83" w:rsidRDefault="00D927F9">
      <w:pPr>
        <w:spacing w:after="120" w:line="300" w:lineRule="auto"/>
        <w:jc w:val="both"/>
      </w:pPr>
      <w:r>
        <w:t>Verdict : alternative pertinente pour un deploiement multi-sites de taille moyenne si MECHA dispose des competences devops necessaires. Moins optimise pour la pure analytique que DuckDB ou ClickHouse.</w:t>
      </w:r>
    </w:p>
    <w:p w:rsidR="008C4F83" w:rsidRPr="00FE3DB2" w:rsidRDefault="00D927F9">
      <w:pPr>
        <w:pStyle w:val="Titre3"/>
        <w:rPr>
          <w:lang w:val="en-US"/>
        </w:rPr>
      </w:pPr>
      <w:bookmarkStart w:id="11" w:name="_Toc228881846"/>
      <w:r w:rsidRPr="00FE3DB2">
        <w:rPr>
          <w:lang w:val="en-US"/>
        </w:rPr>
        <w:t>2.2.3. Databricks Lakehouse (solution cloud managee)</w:t>
      </w:r>
      <w:bookmarkEnd w:id="11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5760"/>
      </w:tblGrid>
      <w:tr w:rsidR="008C4F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Cr</w:t>
            </w:r>
            <w:r>
              <w:rPr>
                <w:b/>
                <w:bCs/>
                <w:color w:val="FFFFFF"/>
                <w:sz w:val="20"/>
                <w:szCs w:val="20"/>
              </w:rPr>
              <w:t>itere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Note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Commentaire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Fonctionnalite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Plateforme integree : ingestion, transformation, BI, ML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Scalabilite horizontale, cache, optimisations Delta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Maturite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Leader du marche lakehouse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Ecosysteme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Communaute immense, partenaires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Cout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2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Modele de tarification DBU/compute, peut deriver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Native avec Azure, AWS, GCP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Scalabilite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Illimitee a la hausse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Securite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Unity Catalog, audit complet, conformites</w:t>
            </w:r>
          </w:p>
        </w:tc>
      </w:tr>
    </w:tbl>
    <w:p w:rsidR="008C4F83" w:rsidRDefault="008C4F83">
      <w:pPr>
        <w:spacing w:after="200"/>
      </w:pPr>
    </w:p>
    <w:p w:rsidR="008C4F83" w:rsidRDefault="00D927F9">
      <w:pPr>
        <w:spacing w:after="120" w:line="300" w:lineRule="auto"/>
        <w:jc w:val="both"/>
      </w:pPr>
      <w:r>
        <w:t>Verdict : plateforme de reference pour l'industrialisation a grande echelle. Cout d'entree eleve, pertinente si MECHA generalise sur les 5 sites avec des volumes importants. A reconsiderer en phase 3.</w:t>
      </w:r>
    </w:p>
    <w:p w:rsidR="008C4F83" w:rsidRDefault="00D927F9">
      <w:pPr>
        <w:pStyle w:val="Titre2"/>
      </w:pPr>
      <w:bookmarkStart w:id="12" w:name="_Toc228881847"/>
      <w:r>
        <w:t>2.3. Synthese et recommandation</w:t>
      </w:r>
      <w:bookmarkEnd w:id="12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200"/>
        <w:gridCol w:w="2400"/>
        <w:gridCol w:w="2360"/>
      </w:tblGrid>
      <w:tr w:rsidR="008C4F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Solution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PoC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Pilote (2 sites)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Generalisation (5 sites)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DuckDB + Parquet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Recommande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Recommande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Non recommande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Postgres + Airflow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Trop lourd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Possible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Possible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Databricks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Surdimensionne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Possible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Recommande</w:t>
            </w:r>
          </w:p>
        </w:tc>
      </w:tr>
    </w:tbl>
    <w:p w:rsidR="008C4F83" w:rsidRDefault="00D927F9">
      <w:pPr>
        <w:pStyle w:val="Titre1"/>
        <w:pageBreakBefore/>
      </w:pPr>
      <w:bookmarkStart w:id="13" w:name="_Toc228881848"/>
      <w:r>
        <w:lastRenderedPageBreak/>
        <w:t>3. Frameworks de machine learning</w:t>
      </w:r>
      <w:bookmarkEnd w:id="13"/>
    </w:p>
    <w:p w:rsidR="008C4F83" w:rsidRDefault="00D927F9">
      <w:pPr>
        <w:pStyle w:val="Titre2"/>
      </w:pPr>
      <w:bookmarkStart w:id="14" w:name="_Toc228881849"/>
      <w:r>
        <w:t>3.1. Solutions candidates</w:t>
      </w:r>
      <w:bookmarkEnd w:id="14"/>
    </w:p>
    <w:p w:rsidR="008C4F83" w:rsidRDefault="00D927F9">
      <w:pPr>
        <w:spacing w:after="120" w:line="300" w:lineRule="auto"/>
        <w:jc w:val="both"/>
      </w:pPr>
      <w:r>
        <w:t>Pour la partie modelisation predictive, plusieurs approches sont envisageables :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scikit-learn + XGBoost : stack Python classique, flexible et modulaire (retenue pour le PoC).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AutoML : H2O.ai, Auto-sklearn, FLAML pour une automatisation maximale.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Deep Learn</w:t>
      </w:r>
      <w:r>
        <w:t>ing : PyTorch ou TensorFlow, pour les cas d'usage necessitant des reseaux de neurones.</w:t>
      </w:r>
    </w:p>
    <w:p w:rsidR="008C4F83" w:rsidRPr="00FE3DB2" w:rsidRDefault="00D927F9">
      <w:pPr>
        <w:pStyle w:val="Paragraphedeliste"/>
        <w:numPr>
          <w:ilvl w:val="0"/>
          <w:numId w:val="2"/>
        </w:numPr>
        <w:spacing w:after="80" w:line="280" w:lineRule="auto"/>
        <w:rPr>
          <w:lang w:val="en-US"/>
        </w:rPr>
      </w:pPr>
      <w:r w:rsidRPr="00FE3DB2">
        <w:rPr>
          <w:lang w:val="en-US"/>
        </w:rPr>
        <w:t>Plateformes managees : Databricks AutoML, AWS SageMaker, Azure ML.</w:t>
      </w:r>
    </w:p>
    <w:p w:rsidR="008C4F83" w:rsidRDefault="00D927F9">
      <w:pPr>
        <w:pStyle w:val="Titre2"/>
      </w:pPr>
      <w:bookmarkStart w:id="15" w:name="_Toc228881850"/>
      <w:r>
        <w:t>3.2. Analyse comparative</w:t>
      </w:r>
      <w:bookmarkEnd w:id="15"/>
    </w:p>
    <w:p w:rsidR="008C4F83" w:rsidRDefault="00D927F9">
      <w:pPr>
        <w:pStyle w:val="Titre3"/>
      </w:pPr>
      <w:bookmarkStart w:id="16" w:name="_Toc228881851"/>
      <w:r>
        <w:t>3.2.1. scikit-learn + XGBoost (retenu)</w:t>
      </w:r>
      <w:bookmarkEnd w:id="16"/>
    </w:p>
    <w:p w:rsidR="008C4F83" w:rsidRDefault="00D927F9">
      <w:pPr>
        <w:jc w:val="center"/>
      </w:pPr>
      <w:r>
        <w:rPr>
          <w:noProof/>
        </w:rPr>
        <w:drawing>
          <wp:inline distT="0" distB="0" distL="0" distR="0">
            <wp:extent cx="5303520" cy="18284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notebook_roc_pr_curv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2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F83" w:rsidRDefault="00D927F9">
      <w:pPr>
        <w:jc w:val="center"/>
      </w:pPr>
      <w:r>
        <w:rPr>
          <w:i/>
          <w:sz w:val="18"/>
        </w:rPr>
        <w:t xml:space="preserve">Figure - Courbes ROC et </w:t>
      </w:r>
      <w:r>
        <w:rPr>
          <w:i/>
          <w:sz w:val="18"/>
        </w:rPr>
        <w:t>Precision-Recall comparatives : XGBoost (AP=0,705) et Random Forest (AP=0,636) devancent largement la regression logistique (AP=0,361)</w:t>
      </w:r>
    </w:p>
    <w:p w:rsidR="008C4F83" w:rsidRDefault="00D927F9">
      <w:pPr>
        <w:jc w:val="center"/>
      </w:pPr>
      <w:r>
        <w:rPr>
          <w:noProof/>
        </w:rPr>
        <w:drawing>
          <wp:inline distT="0" distB="0" distL="0" distR="0">
            <wp:extent cx="5303520" cy="170822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dashboard_ia_benchmark_model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0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F83" w:rsidRDefault="00D927F9">
      <w:pPr>
        <w:jc w:val="center"/>
      </w:pPr>
      <w:r>
        <w:rPr>
          <w:i/>
          <w:sz w:val="18"/>
        </w:rPr>
        <w:t xml:space="preserve">Figure - Validation du choix scikit-learn + XGBoost : PR-AUC 0,705 sur le PoC MECHA, depasse le seuil MSPR (0,5) de 41 </w:t>
      </w:r>
      <w:r>
        <w:rPr>
          <w:i/>
          <w:sz w:val="18"/>
        </w:rPr>
        <w:t>%</w:t>
      </w:r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960"/>
      </w:tblGrid>
      <w:tr w:rsidR="008C4F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Critere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Note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Fonctionnalite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5 - Couvre classification, regression, ensembles, feature engineering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5 - XGBoost reference sur tabulaire, scikit-learn robuste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Maturite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5 - Stack reference depuis plus de 10 ans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Ecosysteme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5 - Communaute immense, cours, livres, tutoriels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Cout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5 - Open source integral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lastRenderedPageBreak/>
              <w:t>Interpretabilite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5 - Avec SHAP pour l'explicabilite locale/globale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Scalabilite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3 - Limite a la machine sans Dask ou Ray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Integration MLOps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5 - MLflow, DVC, reproductibilite</w:t>
            </w:r>
          </w:p>
        </w:tc>
      </w:tr>
    </w:tbl>
    <w:p w:rsidR="008C4F83" w:rsidRDefault="008C4F83">
      <w:pPr>
        <w:spacing w:after="200"/>
      </w:pPr>
    </w:p>
    <w:p w:rsidR="008C4F83" w:rsidRDefault="00D927F9">
      <w:pPr>
        <w:spacing w:after="120" w:line="300" w:lineRule="auto"/>
        <w:jc w:val="both"/>
      </w:pPr>
      <w:r>
        <w:t>Verdict : choix optimal pour le PoC et la phase pilote. La combinaison scikit-learn (baseline, preprocessing) + XGBoost (modele performant) + MLflow (tracking) constitue un standard industriel eprouve.</w:t>
      </w:r>
    </w:p>
    <w:p w:rsidR="008C4F83" w:rsidRDefault="00D927F9">
      <w:pPr>
        <w:pStyle w:val="Titre3"/>
      </w:pPr>
      <w:bookmarkStart w:id="17" w:name="_Toc228881852"/>
      <w:r>
        <w:t>3.2.2. AutoML (FLAML, H2O, Auto-sklearn)</w:t>
      </w:r>
      <w:bookmarkEnd w:id="17"/>
    </w:p>
    <w:p w:rsidR="008C4F83" w:rsidRDefault="00D927F9">
      <w:pPr>
        <w:spacing w:after="120" w:line="300" w:lineRule="auto"/>
        <w:jc w:val="both"/>
      </w:pPr>
      <w:r>
        <w:t>Les solution</w:t>
      </w:r>
      <w:r>
        <w:t>s AutoML automatisent le choix du modele, des hyperparametres et du preprocessing. Avantages : rapidite de prototypage, baseline solide sans expertise requise. Inconvenients : boite plus fermee, moins d'appropriation par l'equipe, interpretation plus diffi</w:t>
      </w:r>
      <w:r>
        <w:t>cile.</w:t>
      </w:r>
    </w:p>
    <w:p w:rsidR="008C4F83" w:rsidRDefault="00D927F9">
      <w:pPr>
        <w:spacing w:after="120" w:line="300" w:lineRule="auto"/>
        <w:jc w:val="both"/>
      </w:pPr>
      <w:r>
        <w:t>Verdict : utile comme point de reference ou pour un premier jet, mais un PoC academique a plus de valeur pedagogique avec une approche scikit-learn + XGBoost argumentee. Reconsiderable en phase 2 pour l'exploration rapide de nouveaux cas d'usage.</w:t>
      </w:r>
    </w:p>
    <w:p w:rsidR="008C4F83" w:rsidRDefault="00D927F9">
      <w:pPr>
        <w:pStyle w:val="Titre3"/>
      </w:pPr>
      <w:bookmarkStart w:id="18" w:name="_Toc228881853"/>
      <w:r>
        <w:t>3.2</w:t>
      </w:r>
      <w:r>
        <w:t>.3. Deep Learning</w:t>
      </w:r>
      <w:bookmarkEnd w:id="18"/>
    </w:p>
    <w:p w:rsidR="008C4F83" w:rsidRDefault="00D927F9">
      <w:pPr>
        <w:spacing w:after="120" w:line="300" w:lineRule="auto"/>
        <w:jc w:val="both"/>
      </w:pPr>
      <w:r>
        <w:t>Pour le cas d'usage MECHA (classification binaire sur donnees tabulaires avec 22 features), le deep learning apporte peu comparativement a XGBoost : gain de performance marginal au mieux, complexite accrue, temps d'entrainement plus long,</w:t>
      </w:r>
      <w:r>
        <w:t xml:space="preserve"> interpretabilite degradee.</w:t>
      </w:r>
    </w:p>
    <w:p w:rsidR="008C4F83" w:rsidRDefault="00D927F9">
      <w:pPr>
        <w:spacing w:after="120" w:line="300" w:lineRule="auto"/>
        <w:jc w:val="both"/>
      </w:pPr>
      <w:r>
        <w:t>Verdict : non recommande pour ce cas d'usage precis. Le deep learning devient pertinent sur :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Donnees non structurees (images, sons, textes).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Series temporelles longues avec dependances complexes (LSTM, Transformers).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Tres grand</w:t>
      </w:r>
      <w:r>
        <w:t>s volumes de donnees (dizaines de millions d'exemples).</w:t>
      </w:r>
    </w:p>
    <w:p w:rsidR="008C4F83" w:rsidRDefault="00D927F9">
      <w:pPr>
        <w:pStyle w:val="Titre2"/>
      </w:pPr>
      <w:bookmarkStart w:id="19" w:name="_Toc228881854"/>
      <w:r>
        <w:t>3.3. Synthese</w:t>
      </w:r>
      <w:bookmarkEnd w:id="19"/>
    </w:p>
    <w:p w:rsidR="008C4F83" w:rsidRDefault="00D927F9">
      <w:pPr>
        <w:spacing w:after="120" w:line="300" w:lineRule="auto"/>
        <w:jc w:val="both"/>
      </w:pPr>
      <w:r>
        <w:t>Le choix scikit-learn + XGBoost pour le PoC est pleinement justifie par la performance obtenue (PR-AUC 0,705) et la demonstrabilite de la demarche. L'ajout de SHAP en phase pilote apportera l'interpretabilite locale necessaire aux utilisateurs metiers.</w:t>
      </w:r>
    </w:p>
    <w:p w:rsidR="008C4F83" w:rsidRDefault="00D927F9">
      <w:pPr>
        <w:pStyle w:val="Titre1"/>
        <w:pageBreakBefore/>
      </w:pPr>
      <w:bookmarkStart w:id="20" w:name="_Toc228881855"/>
      <w:r>
        <w:lastRenderedPageBreak/>
        <w:t xml:space="preserve">4. </w:t>
      </w:r>
      <w:r>
        <w:t>Outils de tracking et MLOps</w:t>
      </w:r>
      <w:bookmarkEnd w:id="20"/>
    </w:p>
    <w:p w:rsidR="008C4F83" w:rsidRDefault="00D927F9">
      <w:pPr>
        <w:pStyle w:val="Titre2"/>
      </w:pPr>
      <w:bookmarkStart w:id="21" w:name="_Toc228881856"/>
      <w:r>
        <w:t>4.1. Solutions candidates</w:t>
      </w:r>
      <w:bookmarkEnd w:id="21"/>
    </w:p>
    <w:p w:rsidR="008C4F83" w:rsidRDefault="00D927F9">
      <w:pPr>
        <w:spacing w:after="120" w:line="300" w:lineRule="auto"/>
        <w:jc w:val="both"/>
      </w:pPr>
      <w:r>
        <w:t>La gestion du cycle de vie des modeles (entrainement, suivi, deploiement, monitoring) constitue un domaine a part entiere. Principales solutions :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MLflow (retenue) : open source, standard de facto.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Weig</w:t>
      </w:r>
      <w:r>
        <w:t>hts &amp; Biases : plateforme SaaS, focalisee sur l'experimentation.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Neptune.ai : alternative SaaS orientee equipe.</w:t>
      </w:r>
    </w:p>
    <w:p w:rsidR="008C4F83" w:rsidRPr="00FE3DB2" w:rsidRDefault="00D927F9">
      <w:pPr>
        <w:pStyle w:val="Paragraphedeliste"/>
        <w:numPr>
          <w:ilvl w:val="0"/>
          <w:numId w:val="2"/>
        </w:numPr>
        <w:spacing w:after="80" w:line="280" w:lineRule="auto"/>
        <w:rPr>
          <w:lang w:val="en-US"/>
        </w:rPr>
      </w:pPr>
      <w:r w:rsidRPr="00FE3DB2">
        <w:rPr>
          <w:lang w:val="en-US"/>
        </w:rPr>
        <w:t>Databricks MLflow Managed : MLflow sur infrastructure Databricks.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Kubeflow : orchestration Kubernetes pour le ML industriel.</w:t>
      </w:r>
    </w:p>
    <w:p w:rsidR="008C4F83" w:rsidRDefault="00D927F9">
      <w:pPr>
        <w:pStyle w:val="Titre2"/>
      </w:pPr>
      <w:bookmarkStart w:id="22" w:name="_Toc228881857"/>
      <w:r>
        <w:t>4.2. Analyse compar</w:t>
      </w:r>
      <w:r>
        <w:t>ative</w:t>
      </w:r>
      <w:bookmarkEnd w:id="22"/>
    </w:p>
    <w:p w:rsidR="008C4F83" w:rsidRDefault="00D927F9">
      <w:pPr>
        <w:jc w:val="center"/>
      </w:pPr>
      <w:r>
        <w:rPr>
          <w:noProof/>
        </w:rPr>
        <w:drawing>
          <wp:inline distT="0" distB="0" distL="0" distR="0">
            <wp:extent cx="5303520" cy="17128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_mlflow_runs_mech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1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F83" w:rsidRDefault="00D927F9">
      <w:pPr>
        <w:jc w:val="center"/>
      </w:pPr>
      <w:r>
        <w:rPr>
          <w:i/>
          <w:sz w:val="18"/>
        </w:rPr>
        <w:t>Figure - Validation du choix MLflow : interface de suivi des experimentations en usage reel sur le projet MECHA</w:t>
      </w:r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400"/>
        <w:gridCol w:w="1800"/>
        <w:gridCol w:w="1500"/>
        <w:gridCol w:w="1660"/>
      </w:tblGrid>
      <w:tr w:rsidR="008C4F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Solution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Cout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Maturite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Adaptation MECHA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MLflow (OSS)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Open source self-hosted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Gratuit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Tres eleve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Recommande PoC et pilote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Weights &amp; Biases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SaaS commercial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25-75 USD/user/mois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Elevee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Possible en pilote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Neptune.ai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SaaS commercial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49-149 USD/user/mois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Moderee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Alternative W&amp;B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Databricks MLflow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Managed SaaS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Integre DBU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Elevee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Si Databricks adopte en phase 3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Kubeflow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Open source Kubernetes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Gratuit + infra K8s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Moderee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Surdimensionne PoC</w:t>
            </w:r>
          </w:p>
        </w:tc>
      </w:tr>
    </w:tbl>
    <w:p w:rsidR="008C4F83" w:rsidRDefault="008C4F83">
      <w:pPr>
        <w:spacing w:after="200"/>
      </w:pPr>
    </w:p>
    <w:p w:rsidR="008C4F83" w:rsidRDefault="00D927F9">
      <w:pPr>
        <w:pStyle w:val="Titre2"/>
      </w:pPr>
      <w:bookmarkStart w:id="23" w:name="_Toc228881858"/>
      <w:r>
        <w:t>4.3. Recommandation</w:t>
      </w:r>
      <w:bookmarkEnd w:id="23"/>
    </w:p>
    <w:p w:rsidR="008C4F83" w:rsidRDefault="00D927F9">
      <w:pPr>
        <w:spacing w:after="120" w:line="300" w:lineRule="auto"/>
        <w:jc w:val="both"/>
      </w:pPr>
      <w:r>
        <w:t xml:space="preserve">MLflow en self-hosted est la solution cible a court et moyen terme. Ses avantages : gratuite, compatible avec la plupart des plateformes, format ouvert des artefacts (interoperable), mature. Pour </w:t>
      </w:r>
      <w:r>
        <w:lastRenderedPageBreak/>
        <w:t>la phase pilote, le passage a Databricks MLflow Managed cons</w:t>
      </w:r>
      <w:r>
        <w:t>tituera une evolution naturelle si la plateforme Databricks est adoptee.</w:t>
      </w:r>
    </w:p>
    <w:p w:rsidR="008C4F83" w:rsidRDefault="00D927F9">
      <w:pPr>
        <w:pStyle w:val="Titre1"/>
        <w:pageBreakBefore/>
      </w:pPr>
      <w:bookmarkStart w:id="24" w:name="_Toc228881859"/>
      <w:r>
        <w:lastRenderedPageBreak/>
        <w:t>5. Outils de restitution BI</w:t>
      </w:r>
      <w:bookmarkEnd w:id="24"/>
    </w:p>
    <w:p w:rsidR="008C4F83" w:rsidRDefault="00D927F9">
      <w:pPr>
        <w:pStyle w:val="Titre2"/>
      </w:pPr>
      <w:bookmarkStart w:id="25" w:name="_Toc228881860"/>
      <w:r>
        <w:t>5.1. Typologies</w:t>
      </w:r>
      <w:bookmarkEnd w:id="25"/>
    </w:p>
    <w:p w:rsidR="008C4F83" w:rsidRDefault="00D927F9">
      <w:pPr>
        <w:spacing w:after="120" w:line="300" w:lineRule="auto"/>
        <w:jc w:val="both"/>
      </w:pPr>
      <w:r>
        <w:t>Le marche des outils BI se structure en trois familles :</w:t>
      </w:r>
    </w:p>
    <w:p w:rsidR="008C4F83" w:rsidRPr="00FE3DB2" w:rsidRDefault="00D927F9">
      <w:pPr>
        <w:pStyle w:val="Paragraphedeliste"/>
        <w:numPr>
          <w:ilvl w:val="0"/>
          <w:numId w:val="2"/>
        </w:numPr>
        <w:spacing w:after="80" w:line="280" w:lineRule="auto"/>
        <w:rPr>
          <w:lang w:val="en-US"/>
        </w:rPr>
      </w:pPr>
      <w:r w:rsidRPr="00FE3DB2">
        <w:rPr>
          <w:lang w:val="en-US"/>
        </w:rPr>
        <w:t>BI traditionnel grand public : Power BI, Tableau, Qlik Sense, Looker.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BI open sour</w:t>
      </w:r>
      <w:r>
        <w:t>ce moderne : Metabase, Superset, Redash.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Framework applicatif pour developpeurs : Streamlit, Dash, Gradio, Observable.</w:t>
      </w:r>
    </w:p>
    <w:p w:rsidR="008C4F83" w:rsidRDefault="00D927F9">
      <w:pPr>
        <w:pStyle w:val="Titre2"/>
      </w:pPr>
      <w:bookmarkStart w:id="26" w:name="_Toc228881861"/>
      <w:r>
        <w:t>5.2. Analyse comparative</w:t>
      </w:r>
      <w:bookmarkEnd w:id="26"/>
    </w:p>
    <w:p w:rsidR="008C4F83" w:rsidRDefault="00D927F9">
      <w:pPr>
        <w:jc w:val="center"/>
      </w:pPr>
      <w:r>
        <w:rPr>
          <w:noProof/>
        </w:rPr>
        <w:drawing>
          <wp:inline distT="0" distB="0" distL="0" distR="0">
            <wp:extent cx="5303520" cy="173289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ashboard_home_kp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3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F83" w:rsidRDefault="00D927F9">
      <w:pPr>
        <w:jc w:val="center"/>
      </w:pPr>
      <w:r>
        <w:rPr>
          <w:i/>
          <w:sz w:val="18"/>
        </w:rPr>
        <w:t xml:space="preserve">Figure - Validation du choix Streamlit : dashboard multi-pages livre en 3 semaines, affiche 5 KPIs temps reel </w:t>
      </w:r>
      <w:r>
        <w:rPr>
          <w:i/>
          <w:sz w:val="18"/>
        </w:rPr>
        <w:t>sur le PoC</w:t>
      </w:r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3500"/>
        <w:gridCol w:w="2260"/>
      </w:tblGrid>
      <w:tr w:rsidR="008C4F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Outil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Forces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Limites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Power BI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BI commercial Microsoft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Ubiquite entreprise, integration Office 365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Licence par utilisateur, surface d'attaque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Tableau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BI commercial Salesforce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Excellence visualisation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Cout eleve, courbe d'apprentissage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Metabase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BI open source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Facile, self-hosted, gratuit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Fonctionnalites moins avancees que Power BI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Superset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BI open source (Apache)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Tres flexible, forte adoption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Complexite d'exploitation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Streamlit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Framework Python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Developpement rapide, apps sur mesure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Moins adapte aux tres grandes audiences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Dash (Plotly)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Framework Python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Interactivite avancee, customisation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Courbe d'apprentissage plus haute</w:t>
            </w:r>
          </w:p>
        </w:tc>
      </w:tr>
    </w:tbl>
    <w:p w:rsidR="008C4F83" w:rsidRDefault="008C4F83">
      <w:pPr>
        <w:spacing w:after="200"/>
      </w:pPr>
    </w:p>
    <w:p w:rsidR="008C4F83" w:rsidRDefault="00D927F9">
      <w:pPr>
        <w:pStyle w:val="Titre2"/>
      </w:pPr>
      <w:bookmarkStart w:id="27" w:name="_Toc228881862"/>
      <w:r>
        <w:t>5.3. Recommandation par phase</w:t>
      </w:r>
      <w:bookmarkEnd w:id="27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960"/>
      </w:tblGrid>
      <w:tr w:rsidR="008C4F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Outil recommande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PoC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Streamlit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Developpement rapide, demonstration interactive du modele ML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lastRenderedPageBreak/>
              <w:t>Pilote (2 sites, 50 users)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Streamlit ou Metabase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Streamlit si besoin d'apps sur mesure, Metabase pour la self-service BI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Generalisation (100+ users)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Power BI ou Metabase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Power BI si ecosysteme Microsoft, Metabase pour le self-hosted</w:t>
            </w:r>
          </w:p>
        </w:tc>
      </w:tr>
    </w:tbl>
    <w:p w:rsidR="008C4F83" w:rsidRDefault="008C4F83">
      <w:pPr>
        <w:spacing w:after="200"/>
      </w:pPr>
    </w:p>
    <w:p w:rsidR="008C4F83" w:rsidRDefault="00D927F9">
      <w:pPr>
        <w:spacing w:after="120" w:line="300" w:lineRule="auto"/>
        <w:jc w:val="both"/>
      </w:pPr>
      <w:r>
        <w:t>Pour le PoC, Streamlit a ete retenu pour sa capacite a integrer nativement la demonstration interactive du modele ML (page IA Predictif avec sliders et jauge en temps reel), ce qui constitue un element de demonstration fort lors de la soutenance.</w:t>
      </w:r>
    </w:p>
    <w:p w:rsidR="008C4F83" w:rsidRPr="00FE3DB2" w:rsidRDefault="00D927F9">
      <w:pPr>
        <w:pStyle w:val="Titre1"/>
        <w:pageBreakBefore/>
        <w:rPr>
          <w:lang w:val="en-US"/>
        </w:rPr>
      </w:pPr>
      <w:bookmarkStart w:id="28" w:name="_Toc228881863"/>
      <w:r w:rsidRPr="00FE3DB2">
        <w:rPr>
          <w:lang w:val="en-US"/>
        </w:rPr>
        <w:lastRenderedPageBreak/>
        <w:t>6. Stack recommandee et synthese</w:t>
      </w:r>
      <w:bookmarkEnd w:id="28"/>
    </w:p>
    <w:p w:rsidR="008C4F83" w:rsidRPr="00FE3DB2" w:rsidRDefault="00D927F9">
      <w:pPr>
        <w:pStyle w:val="Titre2"/>
        <w:rPr>
          <w:lang w:val="en-US"/>
        </w:rPr>
      </w:pPr>
      <w:bookmarkStart w:id="29" w:name="_Toc228881864"/>
      <w:r w:rsidRPr="00FE3DB2">
        <w:rPr>
          <w:lang w:val="en-US"/>
        </w:rPr>
        <w:t>6.1. Stack MECHA par phase</w:t>
      </w:r>
      <w:bookmarkEnd w:id="29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500"/>
        <w:gridCol w:w="2500"/>
        <w:gridCol w:w="2760"/>
      </w:tblGrid>
      <w:tr w:rsidR="008C4F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Brique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PoC (livre)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Pilote (phase 2)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Generalisation (phase 3)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Ingestion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Python + Parquet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Python + Airflow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Kafka + Spark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Stockage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Parquet + DuckDB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Parquet + DuckDB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Iceberg + Databricks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Transformation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Pandas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dbt + Polars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dbt + Spark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Qualite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Pandera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Pandera + Great Expectations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Great Expectations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ML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scikit-learn + XGBoost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Idem + SHAP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Idem + AutoML exploration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MLOps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MLflow local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MLflow self-hosted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Databricks MLflow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Serving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Joblib + Streamlit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BentoML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Databricks Model Serving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Monitoring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Pas de monitoring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Evidently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Evidently + Grafana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BI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Streamlit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Streamlit + Metabase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Power BI + Streamlit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Versionning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Git + DVC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Git + DVC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Git + DVC + MLflow Registry</w:t>
            </w:r>
          </w:p>
        </w:tc>
      </w:tr>
    </w:tbl>
    <w:p w:rsidR="008C4F83" w:rsidRDefault="008C4F83">
      <w:pPr>
        <w:spacing w:after="200"/>
      </w:pPr>
    </w:p>
    <w:p w:rsidR="008C4F83" w:rsidRDefault="00D927F9">
      <w:pPr>
        <w:pStyle w:val="Titre2"/>
      </w:pPr>
      <w:bookmarkStart w:id="30" w:name="_Toc228881865"/>
      <w:r>
        <w:t>6.2. Principes directeurs des choix</w:t>
      </w:r>
      <w:bookmarkEnd w:id="30"/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Privilegier les standards ouverts (Parquet, SQL, Docker) a un lock-in proprietaire.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Architecture modulaire permettant le remplacement d'un composant sans tout reecrire.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Coherence de stack pour faciliter la montee en comp</w:t>
      </w:r>
      <w:r>
        <w:t>etences de l'equipe.</w:t>
      </w:r>
    </w:p>
    <w:p w:rsidR="008C4F83" w:rsidRDefault="00D927F9">
      <w:pPr>
        <w:pStyle w:val="Paragraphedeliste"/>
        <w:numPr>
          <w:ilvl w:val="0"/>
          <w:numId w:val="2"/>
        </w:numPr>
        <w:spacing w:after="80" w:line="280" w:lineRule="auto"/>
      </w:pPr>
      <w:r>
        <w:t>Progressivite : ne pas surdimensionner. Investir dans une techno plus scalable uniquement quand la limite est avere.</w:t>
      </w:r>
    </w:p>
    <w:p w:rsidR="008C4F83" w:rsidRDefault="00D927F9">
      <w:pPr>
        <w:pStyle w:val="Titre2"/>
      </w:pPr>
      <w:bookmarkStart w:id="31" w:name="_Toc228881866"/>
      <w:r>
        <w:t>6.3. Cout total estime par phase</w:t>
      </w:r>
      <w:bookmarkEnd w:id="31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3000"/>
        <w:gridCol w:w="3160"/>
      </w:tblGrid>
      <w:tr w:rsidR="008C4F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Stack retenue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b/>
                <w:bCs/>
                <w:color w:val="FFFFFF"/>
                <w:sz w:val="20"/>
                <w:szCs w:val="20"/>
              </w:rPr>
              <w:t>Cout technologique annuel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PoC (livre)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100 % open source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0 EUR (hors temps humain)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Pilote (2 sites)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100 % open source + 1 VM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3 a 8 k EUR (infrastructure VM)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Generalisation (5 sites, option A open source)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Stack open source elargie + infra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25 a 40 k EUR (infra + exploitation)</w:t>
            </w:r>
          </w:p>
        </w:tc>
      </w:tr>
      <w:tr w:rsidR="008C4F83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Generalisation (5 sites, option B managee)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Databricks + Power BI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C4F83" w:rsidRDefault="00D927F9">
            <w:r>
              <w:rPr>
                <w:sz w:val="20"/>
                <w:szCs w:val="20"/>
              </w:rPr>
              <w:t>80 a 150 k EUR (licences + compute)</w:t>
            </w:r>
          </w:p>
        </w:tc>
      </w:tr>
    </w:tbl>
    <w:p w:rsidR="008C4F83" w:rsidRDefault="008C4F83">
      <w:pPr>
        <w:spacing w:after="200"/>
      </w:pPr>
    </w:p>
    <w:p w:rsidR="008C4F83" w:rsidRDefault="00D927F9">
      <w:pPr>
        <w:spacing w:after="120" w:line="300" w:lineRule="auto"/>
        <w:jc w:val="both"/>
      </w:pPr>
      <w:r>
        <w:lastRenderedPageBreak/>
        <w:t>Le choix entre option A (open source elargie) et option B (managee) en phase 3 depend largement de la strategie IT globale de MECHA : competences internes disponibles, politique cloud, exigences de SLA. Les deux options sont viables.</w:t>
      </w:r>
    </w:p>
    <w:p w:rsidR="008C4F83" w:rsidRDefault="008C4F83">
      <w:pPr>
        <w:spacing w:after="120" w:line="300" w:lineRule="auto"/>
        <w:jc w:val="center"/>
      </w:pPr>
    </w:p>
    <w:p w:rsidR="008C4F83" w:rsidRDefault="00D927F9">
      <w:pPr>
        <w:spacing w:after="120" w:line="300" w:lineRule="auto"/>
        <w:jc w:val="center"/>
      </w:pPr>
      <w:r>
        <w:rPr>
          <w:i/>
          <w:iCs/>
          <w:color w:val="5A6B7C"/>
        </w:rPr>
        <w:t>Romaric TCHOFFO &amp; Emm</w:t>
      </w:r>
      <w:r>
        <w:rPr>
          <w:i/>
          <w:iCs/>
          <w:color w:val="5A6B7C"/>
        </w:rPr>
        <w:t>anuel AMEGA</w:t>
      </w:r>
    </w:p>
    <w:p w:rsidR="008C4F83" w:rsidRDefault="00D927F9">
      <w:pPr>
        <w:spacing w:after="120" w:line="300" w:lineRule="auto"/>
        <w:jc w:val="center"/>
      </w:pPr>
      <w:r>
        <w:rPr>
          <w:i/>
          <w:iCs/>
          <w:color w:val="5A6B7C"/>
        </w:rPr>
        <w:t>EPSI - Mastere Expert en Intelligence Artificielle - 2025/2026</w:t>
      </w:r>
    </w:p>
    <w:sectPr w:rsidR="008C4F83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27F9" w:rsidRDefault="00D927F9">
      <w:r>
        <w:separator/>
      </w:r>
    </w:p>
  </w:endnote>
  <w:endnote w:type="continuationSeparator" w:id="0">
    <w:p w:rsidR="00D927F9" w:rsidRDefault="00D92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4F83" w:rsidRDefault="00D927F9">
    <w:pPr>
      <w:jc w:val="center"/>
    </w:pPr>
    <w:r>
      <w:rPr>
        <w:color w:val="5A6B7C"/>
        <w:sz w:val="18"/>
        <w:szCs w:val="18"/>
      </w:rPr>
      <w:t xml:space="preserve">Page </w:t>
    </w:r>
    <w:r>
      <w:rPr>
        <w:color w:val="5A6B7C"/>
        <w:sz w:val="18"/>
        <w:szCs w:val="18"/>
      </w:rPr>
      <w:fldChar w:fldCharType="begin"/>
    </w:r>
    <w:r>
      <w:rPr>
        <w:color w:val="5A6B7C"/>
        <w:sz w:val="18"/>
        <w:szCs w:val="18"/>
      </w:rPr>
      <w:instrText>PAGE</w:instrText>
    </w:r>
    <w:r w:rsidR="00FE3DB2">
      <w:rPr>
        <w:color w:val="5A6B7C"/>
        <w:sz w:val="18"/>
        <w:szCs w:val="18"/>
      </w:rPr>
      <w:fldChar w:fldCharType="separate"/>
    </w:r>
    <w:r w:rsidR="00FE3DB2">
      <w:rPr>
        <w:noProof/>
        <w:color w:val="5A6B7C"/>
        <w:sz w:val="18"/>
        <w:szCs w:val="18"/>
      </w:rPr>
      <w:t>2</w:t>
    </w:r>
    <w:r>
      <w:rPr>
        <w:color w:val="5A6B7C"/>
        <w:sz w:val="18"/>
        <w:szCs w:val="18"/>
      </w:rPr>
      <w:fldChar w:fldCharType="end"/>
    </w:r>
    <w:r>
      <w:rPr>
        <w:color w:val="5A6B7C"/>
        <w:sz w:val="18"/>
        <w:szCs w:val="18"/>
      </w:rPr>
      <w:t xml:space="preserve"> sur </w:t>
    </w:r>
    <w:r>
      <w:rPr>
        <w:color w:val="5A6B7C"/>
        <w:sz w:val="18"/>
        <w:szCs w:val="18"/>
      </w:rPr>
      <w:fldChar w:fldCharType="begin"/>
    </w:r>
    <w:r>
      <w:rPr>
        <w:color w:val="5A6B7C"/>
        <w:sz w:val="18"/>
        <w:szCs w:val="18"/>
      </w:rPr>
      <w:instrText>NUMPAGES</w:instrText>
    </w:r>
    <w:r w:rsidR="00FE3DB2">
      <w:rPr>
        <w:color w:val="5A6B7C"/>
        <w:sz w:val="18"/>
        <w:szCs w:val="18"/>
      </w:rPr>
      <w:fldChar w:fldCharType="separate"/>
    </w:r>
    <w:r w:rsidR="00FE3DB2">
      <w:rPr>
        <w:noProof/>
        <w:color w:val="5A6B7C"/>
        <w:sz w:val="18"/>
        <w:szCs w:val="18"/>
      </w:rPr>
      <w:t>13</w:t>
    </w:r>
    <w:r>
      <w:rPr>
        <w:color w:val="5A6B7C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27F9" w:rsidRDefault="00D927F9">
      <w:r>
        <w:separator/>
      </w:r>
    </w:p>
  </w:footnote>
  <w:footnote w:type="continuationSeparator" w:id="0">
    <w:p w:rsidR="00D927F9" w:rsidRDefault="00D927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4F83" w:rsidRDefault="00D927F9">
    <w:pPr>
      <w:pBdr>
        <w:bottom w:val="single" w:sz="4" w:space="4" w:color="2E75B6"/>
      </w:pBdr>
      <w:jc w:val="right"/>
    </w:pPr>
    <w:r>
      <w:rPr>
        <w:i/>
        <w:iCs/>
        <w:color w:val="5A6B7C"/>
        <w:sz w:val="18"/>
        <w:szCs w:val="18"/>
      </w:rPr>
      <w:t>MSPR TPRE831 - Benchmark des solutions</w:t>
    </w:r>
    <w:r w:rsidR="00FE3DB2">
      <w:rPr>
        <w:i/>
        <w:iCs/>
        <w:color w:val="5A6B7C"/>
        <w:sz w:val="18"/>
        <w:szCs w:val="18"/>
      </w:rPr>
      <w:t xml:space="preserve"> - Romaric TCHOFFO &amp; Emmanuel AN</w:t>
    </w:r>
    <w:r>
      <w:rPr>
        <w:i/>
        <w:iCs/>
        <w:color w:val="5A6B7C"/>
        <w:sz w:val="18"/>
        <w:szCs w:val="18"/>
      </w:rPr>
      <w:t>EGA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ECA7360"/>
    <w:multiLevelType w:val="hybridMultilevel"/>
    <w:tmpl w:val="E2E04998"/>
    <w:lvl w:ilvl="0" w:tplc="DCCE8644">
      <w:start w:val="1"/>
      <w:numFmt w:val="bullet"/>
      <w:lvlText w:val="●"/>
      <w:lvlJc w:val="left"/>
      <w:pPr>
        <w:ind w:left="720" w:hanging="360"/>
      </w:pPr>
    </w:lvl>
    <w:lvl w:ilvl="1" w:tplc="6BF02E38">
      <w:start w:val="1"/>
      <w:numFmt w:val="bullet"/>
      <w:lvlText w:val="○"/>
      <w:lvlJc w:val="left"/>
      <w:pPr>
        <w:ind w:left="1440" w:hanging="360"/>
      </w:pPr>
    </w:lvl>
    <w:lvl w:ilvl="2" w:tplc="69487FE4">
      <w:start w:val="1"/>
      <w:numFmt w:val="bullet"/>
      <w:lvlText w:val="■"/>
      <w:lvlJc w:val="left"/>
      <w:pPr>
        <w:ind w:left="2160" w:hanging="360"/>
      </w:pPr>
    </w:lvl>
    <w:lvl w:ilvl="3" w:tplc="C7CEE186">
      <w:start w:val="1"/>
      <w:numFmt w:val="bullet"/>
      <w:lvlText w:val="●"/>
      <w:lvlJc w:val="left"/>
      <w:pPr>
        <w:ind w:left="2880" w:hanging="360"/>
      </w:pPr>
    </w:lvl>
    <w:lvl w:ilvl="4" w:tplc="67B4E6DE">
      <w:start w:val="1"/>
      <w:numFmt w:val="bullet"/>
      <w:lvlText w:val="○"/>
      <w:lvlJc w:val="left"/>
      <w:pPr>
        <w:ind w:left="3600" w:hanging="360"/>
      </w:pPr>
    </w:lvl>
    <w:lvl w:ilvl="5" w:tplc="988CCC84">
      <w:start w:val="1"/>
      <w:numFmt w:val="bullet"/>
      <w:lvlText w:val="■"/>
      <w:lvlJc w:val="left"/>
      <w:pPr>
        <w:ind w:left="4320" w:hanging="360"/>
      </w:pPr>
    </w:lvl>
    <w:lvl w:ilvl="6" w:tplc="93247798">
      <w:start w:val="1"/>
      <w:numFmt w:val="bullet"/>
      <w:lvlText w:val="●"/>
      <w:lvlJc w:val="left"/>
      <w:pPr>
        <w:ind w:left="5040" w:hanging="360"/>
      </w:pPr>
    </w:lvl>
    <w:lvl w:ilvl="7" w:tplc="A358E79A">
      <w:start w:val="1"/>
      <w:numFmt w:val="bullet"/>
      <w:lvlText w:val="●"/>
      <w:lvlJc w:val="left"/>
      <w:pPr>
        <w:ind w:left="5760" w:hanging="360"/>
      </w:pPr>
    </w:lvl>
    <w:lvl w:ilvl="8" w:tplc="C6E8288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A5309"/>
    <w:multiLevelType w:val="hybridMultilevel"/>
    <w:tmpl w:val="980A29FC"/>
    <w:lvl w:ilvl="0" w:tplc="106E8B0A">
      <w:start w:val="1"/>
      <w:numFmt w:val="bullet"/>
      <w:lvlText w:val="•"/>
      <w:lvlJc w:val="left"/>
      <w:pPr>
        <w:ind w:left="720" w:hanging="360"/>
      </w:pPr>
    </w:lvl>
    <w:lvl w:ilvl="1" w:tplc="A752808A">
      <w:start w:val="1"/>
      <w:numFmt w:val="bullet"/>
      <w:lvlText w:val="◦"/>
      <w:lvlJc w:val="left"/>
      <w:pPr>
        <w:ind w:left="1440" w:hanging="360"/>
      </w:pPr>
    </w:lvl>
    <w:lvl w:ilvl="2" w:tplc="CEB20F8E">
      <w:numFmt w:val="decimal"/>
      <w:lvlText w:val=""/>
      <w:lvlJc w:val="left"/>
    </w:lvl>
    <w:lvl w:ilvl="3" w:tplc="FBFC7768">
      <w:numFmt w:val="decimal"/>
      <w:lvlText w:val=""/>
      <w:lvlJc w:val="left"/>
    </w:lvl>
    <w:lvl w:ilvl="4" w:tplc="7458CE7E">
      <w:numFmt w:val="decimal"/>
      <w:lvlText w:val=""/>
      <w:lvlJc w:val="left"/>
    </w:lvl>
    <w:lvl w:ilvl="5" w:tplc="46581F4E">
      <w:numFmt w:val="decimal"/>
      <w:lvlText w:val=""/>
      <w:lvlJc w:val="left"/>
    </w:lvl>
    <w:lvl w:ilvl="6" w:tplc="4FC0EB88">
      <w:numFmt w:val="decimal"/>
      <w:lvlText w:val=""/>
      <w:lvlJc w:val="left"/>
    </w:lvl>
    <w:lvl w:ilvl="7" w:tplc="6706F2C2">
      <w:numFmt w:val="decimal"/>
      <w:lvlText w:val=""/>
      <w:lvlJc w:val="left"/>
    </w:lvl>
    <w:lvl w:ilvl="8" w:tplc="B1FC91C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4F83"/>
    <w:rsid w:val="008C4F83"/>
    <w:rsid w:val="00D927F9"/>
    <w:rsid w:val="00FE3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9E6D9"/>
  <w15:docId w15:val="{5CED2582-185A-4D02-BFD1-336686503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spacing w:before="360" w:after="240"/>
      <w:outlineLvl w:val="0"/>
    </w:pPr>
    <w:rPr>
      <w:b/>
      <w:bCs/>
      <w:color w:val="1F3A5F"/>
      <w:sz w:val="32"/>
      <w:szCs w:val="32"/>
    </w:rPr>
  </w:style>
  <w:style w:type="paragraph" w:styleId="Titre2">
    <w:name w:val="heading 2"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Titre3">
    <w:name w:val="heading 3"/>
    <w:qFormat/>
    <w:pPr>
      <w:spacing w:before="240" w:after="120"/>
      <w:outlineLvl w:val="2"/>
    </w:pPr>
    <w:rPr>
      <w:b/>
      <w:bCs/>
      <w:color w:val="1F3A5F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FE3DB2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E3DB2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FE3DB2"/>
    <w:pPr>
      <w:spacing w:after="100"/>
      <w:ind w:left="440"/>
    </w:pPr>
  </w:style>
  <w:style w:type="paragraph" w:styleId="En-tte">
    <w:name w:val="header"/>
    <w:basedOn w:val="Normal"/>
    <w:link w:val="En-tteCar"/>
    <w:uiPriority w:val="99"/>
    <w:unhideWhenUsed/>
    <w:rsid w:val="00FE3DB2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E3DB2"/>
  </w:style>
  <w:style w:type="paragraph" w:styleId="Pieddepage">
    <w:name w:val="footer"/>
    <w:basedOn w:val="Normal"/>
    <w:link w:val="PieddepageCar"/>
    <w:uiPriority w:val="99"/>
    <w:unhideWhenUsed/>
    <w:rsid w:val="00FE3DB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E3D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2381</Words>
  <Characters>13099</Characters>
  <Application>Microsoft Office Word</Application>
  <DocSecurity>0</DocSecurity>
  <Lines>109</Lines>
  <Paragraphs>30</Paragraphs>
  <ScaleCrop>false</ScaleCrop>
  <Company/>
  <LinksUpToDate>false</LinksUpToDate>
  <CharactersWithSpaces>15450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Benchmark des solutions</dc:title>
  <dc:creator>Romaric TCHOFFO &amp; Emmanuel AMEGA</dc:creator>
  <dc:description>Livrable MSPR TPRE831 - Projet MECHA</dc:description>
  <cp:lastModifiedBy>ROMARIC</cp:lastModifiedBy>
  <cp:revision>2</cp:revision>
  <dcterms:created xsi:type="dcterms:W3CDTF">2026-04-21T05:11:00Z</dcterms:created>
  <dcterms:modified xsi:type="dcterms:W3CDTF">2026-05-05T11:57:00Z</dcterms:modified>
</cp:coreProperties>
</file>