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</w:pPr>
      <w:r>
        <w:t xml:space="preserve"/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LIVRABLE 02</w:t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1F3A5F"/>
          <w:sz w:val="48"/>
          <w:szCs w:val="48"/>
        </w:rPr>
        <w:t xml:space="preserve">Analyse des risques</w:t>
      </w:r>
    </w:p>
    <w:p>
      <w:pPr>
        <w:spacing w:after="800"/>
        <w:jc w:val="center"/>
      </w:pPr>
      <w:r>
        <w:rPr>
          <w:rFonts w:ascii="Calibri" w:cs="Calibri" w:eastAsia="Calibri" w:hAnsi="Calibri"/>
          <w:i/>
          <w:iCs/>
          <w:color w:val="5A6B7C"/>
          <w:sz w:val="28"/>
          <w:szCs w:val="28"/>
        </w:rPr>
        <w:t xml:space="preserve">Identification, cotation et mesures de mitigation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2E75B6"/>
        </w:rPr>
        <w:t xml:space="preserve">━━━━━━━━━━━━━━━━━━━━━━━━━━━━━━━━━━━</w:t>
      </w:r>
    </w:p>
    <w:p>
      <w:pPr>
        <w:spacing w:after="12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Projet MECHA</w:t>
      </w:r>
    </w:p>
    <w:p>
      <w:pPr>
        <w:spacing w:after="400"/>
        <w:jc w:val="center"/>
      </w:pPr>
      <w:r>
        <w:rPr>
          <w:rFonts w:ascii="Calibri" w:cs="Calibri" w:eastAsia="Calibri" w:hAnsi="Calibri"/>
          <w:i/>
          <w:iCs/>
          <w:color w:val="5A6B7C"/>
          <w:sz w:val="24"/>
          <w:szCs w:val="24"/>
        </w:rPr>
        <w:t xml:space="preserve">PoC Pilotage industriel et IA predictive</w:t>
      </w:r>
    </w:p>
    <w:p>
      <w:pPr>
        <w:spacing w:after="12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MSPR TPRE831 - Bloc 3</w:t>
      </w:r>
    </w:p>
    <w:p>
      <w:pPr>
        <w:spacing w:after="600"/>
        <w:jc w:val="center"/>
      </w:pPr>
      <w:r>
        <w:rPr>
          <w:rFonts w:ascii="Calibri" w:cs="Calibri" w:eastAsia="Calibri" w:hAnsi="Calibri"/>
          <w:color w:val="5A6B7C"/>
          <w:sz w:val="20"/>
          <w:szCs w:val="20"/>
        </w:rPr>
        <w:t xml:space="preserve">Certification RNCP 35584 - Expert en Informatique et Systeme d'Information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2E75B6"/>
        </w:rPr>
        <w:t xml:space="preserve">━━━━━━━━━━━━━━━━━━━━━━━━━━━━━━━━━━━</w:t>
      </w:r>
    </w:p>
    <w:p>
      <w:pPr>
        <w:spacing w:after="160"/>
        <w:jc w:val="center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Equipe projet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Romaric TCHOFFO</w:t>
      </w:r>
    </w:p>
    <w:p>
      <w:pPr>
        <w:spacing w:after="600"/>
        <w:jc w:val="center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Emmanuel AMEGA</w:t>
      </w:r>
    </w:p>
    <w:p>
      <w:pPr>
        <w:jc w:val="center"/>
      </w:pPr>
      <w:r>
        <w:rPr>
          <w:rFonts w:ascii="Calibri" w:cs="Calibri" w:eastAsia="Calibri" w:hAnsi="Calibri"/>
          <w:color w:val="5A6B7C"/>
          <w:sz w:val="20"/>
          <w:szCs w:val="20"/>
        </w:rPr>
        <w:t xml:space="preserve">EPSI - Mastere Expert en Intelligence Artificielle - 2025/2026</w:t>
      </w:r>
    </w:p>
    <w:p>
      <w:pPr>
        <w:pStyle w:val="Heading1"/>
        <w:pageBreakBefore/>
        <w:spacing w:after="240" w:before="360"/>
      </w:pPr>
      <w:r>
        <w:rPr>
          <w:rFonts w:ascii="Calibri" w:cs="Calibri" w:eastAsia="Calibri" w:hAnsi="Calibri"/>
          <w:b/>
          <w:bCs/>
          <w:color w:val="1F3A5F"/>
          <w:sz w:val="32"/>
          <w:szCs w:val="32"/>
        </w:rPr>
        <w:t xml:space="preserve">Sommaire</w:t>
      </w:r>
    </w:p>
    <w:sdt>
      <w:sdtPr>
        <w:alias w:val="Table des matiere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  <w:spacing w:after="240" w:before="360"/>
      </w:pPr>
      <w:r>
        <w:rPr>
          <w:rFonts w:ascii="Calibri" w:cs="Calibri" w:eastAsia="Calibri" w:hAnsi="Calibri"/>
          <w:b/>
          <w:bCs/>
          <w:color w:val="1F3A5F"/>
          <w:sz w:val="32"/>
          <w:szCs w:val="32"/>
        </w:rPr>
        <w:t xml:space="preserve">1. Methodologie d'analyse des risques</w:t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1.1. Objet</w:t>
      </w:r>
    </w:p>
    <w:p>
      <w:pPr>
        <w:spacing w:after="12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Le present document identifie et evalue les risques susceptibles d'affecter la reussite du projet MECHA, qu'il s'agisse du PoC lui-meme ou de la phase ulterieure d'industrialisation. Il propose pour chaque risque identifie une strategie de mitigation adaptee.</w:t>
      </w:r>
    </w:p>
    <w:p>
      <w:pPr>
        <w:spacing w:after="12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La gestion des risques est une composante essentielle de la gouvernance projet. Un risque non identifie devient un probleme non anticipe, souvent couteux. Cette analyse sera revisee a chaque jalon du projet et tenue a jour par le comite de pilotage.</w:t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1.2. Grille de cotation</w:t>
      </w:r>
    </w:p>
    <w:p>
      <w:pPr>
        <w:spacing w:after="12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Chaque risque est cote selon deux axes :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Probabilite d'occurrence (P) : echelle 1 (tres faible) a 4 (tres forte).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Gravite de l'impact (G) : echelle 1 (negligeable) a 4 (critique).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Criticite (C) = P x G : echelle 1 a 16.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Echelle de criticite</w:t>
      </w:r>
    </w:p>
    <w:tbl>
      <w:tblPr>
        <w:tblW w:type="dxa" w:w="9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000"/>
        <w:gridCol w:w="6160"/>
      </w:tblGrid>
      <w:tr>
        <w:trPr>
          <w:tblHeader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Criticite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Niveau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Traitement requis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1 - 4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Faible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Acceptation, surveillance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5 - 8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Moderee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Surveillance active, plan de mitigation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9 - 12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Elevee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 de mitigation obligatoire, suivi mensuel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13 - 16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Critique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 de mitigation prioritaire, suivi hebdomadaire, escalade comite</w:t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1.3. Cartographie synthetique</w:t>
      </w:r>
    </w:p>
    <w:p>
      <w:pPr>
        <w:spacing w:after="12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Les risques identifies se repartissent en cinq categories :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Risques techniques : fiabilite, architecture, performance.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Risques de donnees : qualite, disponibilite, derive.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Risques organisationnels : adhesion, competences, coordination.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Risques reglementaires et securite : RGPD, cybersecurite, AI Act.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Risques metier et strategie : ROI, alignement, adoption.</w:t>
      </w:r>
    </w:p>
    <w:p>
      <w:pPr>
        <w:pStyle w:val="Heading1"/>
        <w:pageBreakBefore/>
        <w:spacing w:after="240" w:before="360"/>
      </w:pPr>
      <w:r>
        <w:rPr>
          <w:rFonts w:ascii="Calibri" w:cs="Calibri" w:eastAsia="Calibri" w:hAnsi="Calibri"/>
          <w:b/>
          <w:bCs/>
          <w:color w:val="1F3A5F"/>
          <w:sz w:val="32"/>
          <w:szCs w:val="32"/>
        </w:rPr>
        <w:t xml:space="preserve">2. Risques techniques</w:t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2.1. R-T-01 : Heterogeneite des sources de donnees</w:t>
      </w:r>
    </w:p>
    <w:tbl>
      <w:tblPr>
        <w:tblW w:type="dxa" w:w="9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460"/>
      </w:tblGrid>
      <w:tr>
        <w:trPr>
          <w:tblHeader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Attribut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Valeur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Les 5 usines MECHA utilisent des systemes SCADA/MES differents avec des formats, frequences et nomenclatures heterogenes.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Probabilite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 (tres forte - constate des le cadrage)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Gravite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 (elevee - bloquant pour la consolidation)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Criticite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12 (Elevee)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Impact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Retard de generalisation, cout additionnel de connecteurs specifiques, donnees potentiellement divergentes.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2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Mesures de mitigation :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Definir une couche d'abstraction (adapters par site) concentrant la complexite dans le code d'ingestion.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Valider la demarche d'abstraction sur le PoC (2 usines simulees avec leger decalage).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Documenter les specifications de chaque site avant developpement des connecteurs (cahier des charges technique par usine).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Prevoir une phase de normalisation dans le pipeline silver pour aligner les schemas.</w:t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2.2. R-T-02 : Panne du systeme SCADA source</w:t>
      </w:r>
    </w:p>
    <w:tbl>
      <w:tblPr>
        <w:tblW w:type="dxa" w:w="9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460"/>
      </w:tblGrid>
      <w:tr>
        <w:trPr>
          <w:tblHeader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Attribut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Valeur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Une panne prolongee du SCADA sur un site coupe l'alimentation des dashboards et du systeme d'alertes.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Probabilite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 (moderee)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Gravite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 (elevee - perte temporaire de visibilite sur le site concerne)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Criticite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 (Moderee)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Impact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Dashboards fige ou en retard, alertes non levees, decisions aveugles.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2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Mesures de mitigation :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Mettre en place un monitoring de l'ingestion (timestamp de derniere donnee par site).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Afficher une alerte systeme sur le dashboard si un site ne remonte plus depuis plus de 30 minutes.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Conserver l'historique de la derniere journee complete comme fallback.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Documenter la procedure d'escalade aupres du support industriel en cas de panne SCADA prolongee.</w:t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2.3. R-T-03 : Montee en charge insuffisante</w:t>
      </w:r>
    </w:p>
    <w:tbl>
      <w:tblPr>
        <w:tblW w:type="dxa" w:w="9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460"/>
      </w:tblGrid>
      <w:tr>
        <w:trPr>
          <w:tblHeader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Attribut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Valeur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Le PoC fonctionne sur 10 000 pieces simulees. La production reelle peut atteindre 50 000 pieces/jour par site, soit 250 000 /jour sur 5 sites.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Probabilite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 (forte sans test de charge)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Gravite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 (elevee - blocage de la generalisation)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Criticite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9 (Elevee)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Impact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Temps de reponse degrades, batchs nocturnes ne tenant pas les fenetres, retard pour les utilisateurs.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2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Mesures de mitigation :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Executer des tests de charge en phase pilote avec une semaine de donnees reelles par site.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Prevoir une architecture scalable : DuckDB peut etre remplace par Snowflake, BigQuery ou Databricks si necessaire.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Profiler les requetes critiques et ajouter des index / tables d'agregat.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Anticiper le passage a un moteur de streaming (Kafka + Spark Streaming) en phase 2 si les batchs sont insuffisants.</w:t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2.4. R-T-04 : Derive du modele ML en production</w:t>
      </w:r>
    </w:p>
    <w:tbl>
      <w:tblPr>
        <w:tblW w:type="dxa" w:w="9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460"/>
      </w:tblGrid>
      <w:tr>
        <w:trPr>
          <w:tblHeader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Attribut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Valeur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Les conditions de production evoluent (nouveaux materiaux, nouvelles gammes, usure des machines) et le modele ML perd en performance sans qu'on le detecte.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Probabilite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 (forte en production)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Gravite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 (elevee - perte silencieuse de fiabilite des alertes)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Criticite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9 (Elevee)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Impact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Augmentation des faux positifs ou faux negatifs, perte de confiance des utilisateurs.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2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Mesures de mitigation :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Mettre en place un monitoring de drift via MLflow : comparer la distribution des features et des predictions sur le mois courant vs mois de reference.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Definir des seuils d'alerte automatiques sur la derive (KS-test, PSI).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Planifier un re-entrainement trimestriel et ponctuel en cas de derive avere.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Documenter une procedure de rollback vers le modele precedent si la nouvelle version degrade les metriques.</w:t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2.5. R-T-05 : Dette technique accumulee</w:t>
      </w:r>
    </w:p>
    <w:tbl>
      <w:tblPr>
        <w:tblW w:type="dxa" w:w="9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460"/>
      </w:tblGrid>
      <w:tr>
        <w:trPr>
          <w:tblHeader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Attribut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Valeur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Le code du PoC, focalise sur la demonstration, pourrait etre difficile a maintenir a l'echelle (absence de tests unitaires exhaustifs, code en notebooks plutot que modules packages).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Probabilite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 (forte)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Gravite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 (moderee - ralentissement mais pas de blocage)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Criticite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 (Moderee)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Impact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Ralentissement de la maintenance evolutive, couts de montee en qualite en phase 2.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2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Mesures de mitigation :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Refactoriser le code en modules Python (src/mecha) en debut de phase 2.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Ajouter des tests unitaires (pytest) couvrant au minimum les transformations critiques.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Mettre en place une CI GitHub Actions (ruff, pytest) sur toute pull request.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Documenter les decisions d'architecture dans docs/adr/ (Architecture Decision Records).</w:t>
      </w:r>
    </w:p>
    <w:p>
      <w:pPr>
        <w:pStyle w:val="Heading1"/>
        <w:pageBreakBefore/>
        <w:spacing w:after="240" w:before="360"/>
      </w:pPr>
      <w:r>
        <w:rPr>
          <w:rFonts w:ascii="Calibri" w:cs="Calibri" w:eastAsia="Calibri" w:hAnsi="Calibri"/>
          <w:b/>
          <w:bCs/>
          <w:color w:val="1F3A5F"/>
          <w:sz w:val="32"/>
          <w:szCs w:val="32"/>
        </w:rPr>
        <w:t xml:space="preserve">3. Risques lies aux donnees</w:t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3.1. R-D-01 : Qualite insuffisante des donnees brutes</w:t>
      </w:r>
    </w:p>
    <w:tbl>
      <w:tblPr>
        <w:tblW w:type="dxa" w:w="9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460"/>
      </w:tblGrid>
      <w:tr>
        <w:trPr>
          <w:tblHeader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Attribut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Valeur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Les donnees capteurs reelles peuvent contenir des taux de manquants, de valeurs aberrantes ou d'incoherences superieurs a ceux du jeu de test.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Probabilite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 (forte)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Gravite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 (elevee - impact direct sur la performance ML et la fiabilite des KPIs)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Criticite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9 (Elevee)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Impact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Modele peu performant, KPIs biaises, perte de confiance utilisateurs.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2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Mesures de mitigation :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Audit qualite systematique des donnees en phase pilote avant toute utilisation en production.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Pipeline bronze/silver robuste avec Pandera et rapports JSON de qualite.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Alertes automatiques si le taux de manquants sur un capteur depasse 5 % sur une fenetre horaire.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Dialogue etroit avec les equipes maintenance pour traiter les capteurs defaillants en amont.</w:t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3.2. R-D-02 : Tracabilite insuffisante</w:t>
      </w:r>
    </w:p>
    <w:tbl>
      <w:tblPr>
        <w:tblW w:type="dxa" w:w="9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460"/>
      </w:tblGrid>
      <w:tr>
        <w:trPr>
          <w:tblHeader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Attribut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Valeur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Impossibilite de remonter du resultat d'un KPI a la donnee source, notamment pour les audits qualite aeronautique.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Probabilite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 (moderee)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Gravite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 (critique - potentiel blocage certification EN 9100)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Criticite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8 (Moderee)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Impact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Ecart audit, risque de perte d'accreditation, impact client aeronautique.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2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Mesures de mitigation :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Conserver toutes les donnees brutes (couche bronze) de maniere immuable.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Versionner les transformations via DVC avec commits git associes.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Conserver l'identifiant unique de piece (UDI, Product ID) tout au long du pipeline.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Documenter les regles de transformation dans la documentation projet.</w:t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3.3. R-D-03 : Biais d'echantillonnage et de classe</w:t>
      </w:r>
    </w:p>
    <w:tbl>
      <w:tblPr>
        <w:tblW w:type="dxa" w:w="9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460"/>
      </w:tblGrid>
      <w:tr>
        <w:trPr>
          <w:tblHeader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Attribut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Valeur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Le jeu de donnees est fortement desequilibre (3,4 % de pannes). Un biais d'echantillonnage pourrait degrader la generalite du modele.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Probabilite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 (forte)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Gravite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 (moderee - adresse methodologiquement)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Criticite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 (Moderee)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Impact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Performance du modele sous-estimee ou surestimee selon le biais.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2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Mesures de mitigation :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Utilisation de metriques robustes au desequilibre (PR-AUC plutot que accuracy).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Split train/test stratifie conservant la proportion de classe.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class_weight='balanced' ou scale_pos_weight pour compenser le desequilibre.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Validation croisee stratifiee (K-fold) en phase pilote.</w:t>
      </w:r>
    </w:p>
    <w:p>
      <w:pPr>
        <w:pStyle w:val="Heading1"/>
        <w:pageBreakBefore/>
        <w:spacing w:after="240" w:before="360"/>
      </w:pPr>
      <w:r>
        <w:rPr>
          <w:rFonts w:ascii="Calibri" w:cs="Calibri" w:eastAsia="Calibri" w:hAnsi="Calibri"/>
          <w:b/>
          <w:bCs/>
          <w:color w:val="1F3A5F"/>
          <w:sz w:val="32"/>
          <w:szCs w:val="32"/>
        </w:rPr>
        <w:t xml:space="preserve">4. Risques organisationnels</w:t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4.1. R-O-01 : Resistance au changement des operateurs</w:t>
      </w:r>
    </w:p>
    <w:tbl>
      <w:tblPr>
        <w:tblW w:type="dxa" w:w="9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460"/>
      </w:tblGrid>
      <w:tr>
        <w:trPr>
          <w:tblHeader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Attribut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Valeur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Les operateurs percoivent le systeme IA comme une menace de surveillance ou de remplacement.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Probabilite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 (forte)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Gravite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 (elevee - adoption compromise)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Criticite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9 (Elevee)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Impact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Rejet de l'outil, contournements, sabotages passifs (non-respect des alertes).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2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Mesures de mitigation :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Communication transparente sur la finalite du projet (aider, pas remplacer).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Implication des operateurs dans la conception des alertes (ateliers de co-design).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Formation pratique sur les outils, valorisation de la competence acquise.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Engagement ecrit de la direction sur la non-utilisation des donnees a des fins individuelles.</w:t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4.2. R-O-02 : Manque de competences data en interne</w:t>
      </w:r>
    </w:p>
    <w:tbl>
      <w:tblPr>
        <w:tblW w:type="dxa" w:w="9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460"/>
      </w:tblGrid>
      <w:tr>
        <w:trPr>
          <w:tblHeader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Attribut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Valeur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MECHA ne dispose pas de data engineer ni de data scientist en interne pour reprendre la maintenance evolutive.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Probabilite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 (tres forte)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Gravite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 (elevee - risque de dependance prestataire)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Criticite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12 (Elevee)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Impact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Cout de sous-traitance eleve, lenteur des evolutions, ruptures de continuite.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2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Mesures de mitigation :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Recruter un data engineer en phase pilote (integration dans la DSI).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Former un referent metier par site sur la consultation des dashboards.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Documenter exhaustivement le code et les decisions d'architecture.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Etablir un contrat de support avec un prestataire pour les 18 premiers mois.</w:t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4.3. R-O-03 : Deceptions des utilisateurs par rapport aux attentes</w:t>
      </w:r>
    </w:p>
    <w:tbl>
      <w:tblPr>
        <w:tblW w:type="dxa" w:w="9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460"/>
      </w:tblGrid>
      <w:tr>
        <w:trPr>
          <w:tblHeader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Attribut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Valeur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Les utilisateurs attendent un outil magique donnant toutes les reponses. Les limitations (modele probabiliste, besoin de donnees propres) genent la comprehension.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Probabilite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 (forte)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Gravite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 (moderee)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Criticite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 (Moderee)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Impact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Perte de confiance, baisse d'engagement, remise en cause du projet.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2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Mesures de mitigation :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Pedagogie forte sur la difference entre corrélation et causalite (ateliers de sensibilisation).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Expliciter dans les interfaces les intervalles de confiance des predictions.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Quantifier la valeur reelle du modele (nombre de pannes evitees / semaine).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Proposer un outil complementaire, pas un oracle.</w:t>
      </w:r>
    </w:p>
    <w:p>
      <w:pPr>
        <w:pStyle w:val="Heading1"/>
        <w:pageBreakBefore/>
        <w:spacing w:after="240" w:before="360"/>
      </w:pPr>
      <w:r>
        <w:rPr>
          <w:rFonts w:ascii="Calibri" w:cs="Calibri" w:eastAsia="Calibri" w:hAnsi="Calibri"/>
          <w:b/>
          <w:bCs/>
          <w:color w:val="1F3A5F"/>
          <w:sz w:val="32"/>
          <w:szCs w:val="32"/>
        </w:rPr>
        <w:t xml:space="preserve">5. Risques reglementaires et cybersecurite</w:t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5.1. R-R-01 : Conformite RGPD</w:t>
      </w:r>
    </w:p>
    <w:tbl>
      <w:tblPr>
        <w:tblW w:type="dxa" w:w="9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460"/>
      </w:tblGrid>
      <w:tr>
        <w:trPr>
          <w:tblHeader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Attribut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Valeur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Les identifiants operateurs potentiellement captures dans les logs SCADA pourraient constituer des donnees a caractere personnel.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Probabilite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 (moderee)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Gravite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 (critique - amende CNIL potentielle)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Criticite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8 (Moderee)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Impact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Sanctions financieres (jusqu'a 4 % du CA), atteinte a la reputation.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2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Mesures de mitigation :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Analyse d'impact sur la protection des donnees (AIPD) avant mise en production.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Pseudonymisation des identifiants operateurs dans les logs analytiques.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Politique de retention : donnees brutes supprimees apres 24 mois, agregats conserves sans donnees personnelles.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Nomination d'un responsable de la protection des donnees (DPO) sur le perimetre.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Information explicite des operateurs, registre des traitements tenu a jour.</w:t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5.2. R-R-02 : AI Act europeen</w:t>
      </w:r>
    </w:p>
    <w:tbl>
      <w:tblPr>
        <w:tblW w:type="dxa" w:w="9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460"/>
      </w:tblGrid>
      <w:tr>
        <w:trPr>
          <w:tblHeader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Attribut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Valeur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Le reglement europeen sur l'IA (AI Act) entre en vigueur progressivement et impose des obligations de documentation, de transparence et de gestion des biais.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Probabilite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 (tres forte - reglementation en cours d'application)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Gravite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 (moderee - impact documentaire principalement)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Criticite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8 (Moderee)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Impact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Obligations de documentation supplementaires, audit de conformite potentiel.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2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Mesures de mitigation :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Classification du systeme IA selon la grille AI Act (ici probablement IA a risque limite - systeme d'aide a la decision industrielle).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Documentation technique systematique (model cards) de chaque modele deploye.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Veille reglementaire trimestrielle sur les evolutions AI Act.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Registre des systemes IA utilises en production.</w:t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5.3. R-R-03 : Cybersecurite</w:t>
      </w:r>
    </w:p>
    <w:tbl>
      <w:tblPr>
        <w:tblW w:type="dxa" w:w="9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460"/>
      </w:tblGrid>
      <w:tr>
        <w:trPr>
          <w:tblHeader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Attribut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Valeur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Les systemes industriels sont une cible privilegiee des cyberattaques (ransomware, sabotage). L'interconnexion IT/OT cree de nouveaux vecteurs.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Probabilite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 (forte dans le contexte actuel)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Gravite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 (critique - arret production, fuite de donnees industrielles)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Criticite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12 (Elevee)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Impact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Arret de production, perte de propriete intellectuelle, impact image.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2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Mesures de mitigation :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Segmentation reseau stricte entre le systeme BI et les systemes de production (DMZ).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Authentification forte (SSO + MFA) pour l'acces aux dashboards.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Chiffrement au repos et en transit (TLS 1.3, AES-256).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Audit de securite externe avant mise en production.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Plan de reprise d'activite (PRA) documente et teste.</w:t>
      </w:r>
    </w:p>
    <w:p>
      <w:pPr>
        <w:pStyle w:val="Heading1"/>
        <w:pageBreakBefore/>
        <w:spacing w:after="240" w:before="360"/>
      </w:pPr>
      <w:r>
        <w:rPr>
          <w:rFonts w:ascii="Calibri" w:cs="Calibri" w:eastAsia="Calibri" w:hAnsi="Calibri"/>
          <w:b/>
          <w:bCs/>
          <w:color w:val="1F3A5F"/>
          <w:sz w:val="32"/>
          <w:szCs w:val="32"/>
        </w:rPr>
        <w:t xml:space="preserve">6. Risques metier et strategiques</w:t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6.1. R-M-01 : ROI non atteint</w:t>
      </w:r>
    </w:p>
    <w:tbl>
      <w:tblPr>
        <w:tblW w:type="dxa" w:w="9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460"/>
      </w:tblGrid>
      <w:tr>
        <w:trPr>
          <w:tblHeader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Attribut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Valeur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Les gains metier estimes (TRS +1 pt, rebut -0,5 pt) ne se materialisent pas dans les 18 mois.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Probabilite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 (moderee)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Gravite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 (elevee - remise en cause du projet)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Criticite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 (Moderee)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Impact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Demantelement du projet, perte d'investissement, demotivation equipes.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2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Mesures de mitigation :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Mesurer les KPIs metier de reference AVANT le deploiement (baseline).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Mettre en place un comite de pilotage mensuel avec suivi ROI.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Prioriser les cas d'usage a fort ROI rapide (alertes critique &gt; analyses fines).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Integrer des objectifs chiffres dans les evaluations annuelles des responsables d'usine.</w:t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6.2. R-M-02 : Obsolescence technologique</w:t>
      </w:r>
    </w:p>
    <w:tbl>
      <w:tblPr>
        <w:tblW w:type="dxa" w:w="9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460"/>
      </w:tblGrid>
      <w:tr>
        <w:trPr>
          <w:tblHeader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Attribut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Valeur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L'ecosysteme data evolue rapidement. Un choix techno aujourd'hui solide peut devenir obsolete en 3 ans.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Probabilite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 (forte)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Gravite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 (moderee - refactoring necessaire mais pas bloquant)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Criticite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 (Moderee)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Impact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Cout de migration, depenses non prevues.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2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Mesures de mitigation :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Privilegier les standards ouverts (Parquet, SQL, Docker) a un lock-in proprietaire.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Architecture modulaire permettant le remplacement d'un composant sans tout reecrire.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Veille technologique active (abonnement newsletters, participation conferences).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Budget de modernisation incremental (10 % du budget data annuel).</w:t>
      </w:r>
    </w:p>
    <w:p>
      <w:pPr>
        <w:pStyle w:val="Heading1"/>
        <w:pageBreakBefore/>
        <w:spacing w:after="240" w:before="360"/>
      </w:pPr>
      <w:r>
        <w:rPr>
          <w:rFonts w:ascii="Calibri" w:cs="Calibri" w:eastAsia="Calibri" w:hAnsi="Calibri"/>
          <w:b/>
          <w:bCs/>
          <w:color w:val="1F3A5F"/>
          <w:sz w:val="32"/>
          <w:szCs w:val="32"/>
        </w:rPr>
        <w:t xml:space="preserve">7. Synthese et matrice consolidee</w:t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7.1. Matrice des risques</w:t>
      </w:r>
    </w:p>
    <w:tbl>
      <w:tblPr>
        <w:tblW w:type="dxa" w:w="9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4200"/>
        <w:gridCol w:w="800"/>
        <w:gridCol w:w="800"/>
        <w:gridCol w:w="800"/>
        <w:gridCol w:w="2160"/>
      </w:tblGrid>
      <w:tr>
        <w:trPr>
          <w:tblHeader/>
        </w:trP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Risque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Niveau</w:t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R-T-01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Heterogeneite des sources de donnees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12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Elevee</w:t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R-T-02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Panne du systeme SCADA source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Moderee</w:t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R-T-03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Montee en charge insuffisante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9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Elevee</w:t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R-T-04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Derive du modele ML en production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9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Elevee</w:t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R-T-05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Dette technique accumulee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Moderee</w:t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R-D-01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Qualite insuffisante des donnees brutes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9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Elevee</w:t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R-D-02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Tracabilite insuffisante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8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Moderee</w:t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R-D-03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Biais d'echantillonnage et de classe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Moderee</w:t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R-O-01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Resistance au changement operateurs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9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Elevee</w:t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R-O-02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Manque de competences data internes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12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Elevee</w:t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R-O-03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Deceptions par rapport aux attentes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Moderee</w:t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R-R-01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Conformite RGPD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8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Moderee</w:t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R-R-02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AI Act europeen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8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Moderee</w:t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R-R-03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Cybersecurite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12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Elevee</w:t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R-M-01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ROI non atteint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Moderee</w:t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R-M-02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Obsolescence technologique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Moderee</w:t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7.2. Top 5 des risques critiques a piloter</w:t>
      </w:r>
    </w:p>
    <w:p>
      <w:pPr>
        <w:spacing w:after="12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Les risques de criticite la plus elevee (12) doivent faire l'objet d'un suivi prioritaire :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R-T-01 - Heterogeneite des sources : investir dans la couche d'abstraction des que la phase pilote demarre.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R-O-02 - Manque de competences data : recruter un data engineer en phase pilote (prerequis contractuel).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R-R-03 - Cybersecurite : audit externe avant mise en production, segmentation IT/OT non negociable.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R-T-03 - Montee en charge : tests de charge obligatoires en phase pilote sur donnees reelles.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R-T-04 - Derive du modele ML : monitoring de drift via MLflow, re-entrainement trimestriel.</w:t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7.3. Gouvernance de la revue des risques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Revue formelle a chaque jalon de phase (S2, S3, S4, S6, S7, S8 pour le PoC).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Escalade au comite de pilotage pour tout nouveau risque critique (C &gt;= 12).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Mise a jour du registre des risques a chaque comite mensuel en phase production.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Indicateur de suivi : pourcentage de risques avec plan de mitigation actif et a jour.</w:t>
      </w:r>
    </w:p>
    <w:p>
      <w:pPr>
        <w:spacing w:after="120" w:line="30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20" w:line="300"/>
        <w:jc w:val="center"/>
      </w:pPr>
      <w:r>
        <w:rPr>
          <w:rFonts w:ascii="Calibri" w:cs="Calibri" w:eastAsia="Calibri" w:hAnsi="Calibri"/>
          <w:i/>
          <w:iCs/>
          <w:color w:val="5A6B7C"/>
          <w:sz w:val="22"/>
          <w:szCs w:val="22"/>
        </w:rPr>
        <w:t xml:space="preserve">Romaric TCHOFFO &amp; Emmanuel AMEGA</w:t>
      </w:r>
    </w:p>
    <w:p>
      <w:pPr>
        <w:spacing w:after="120" w:line="300"/>
        <w:jc w:val="center"/>
      </w:pPr>
      <w:r>
        <w:rPr>
          <w:rFonts w:ascii="Calibri" w:cs="Calibri" w:eastAsia="Calibri" w:hAnsi="Calibri"/>
          <w:i/>
          <w:iCs/>
          <w:color w:val="5A6B7C"/>
          <w:sz w:val="22"/>
          <w:szCs w:val="22"/>
        </w:rPr>
        <w:t xml:space="preserve">EPSI - Mastere Expert en Intelligence Artificielle - 2025/2026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A6B7C"/>
        <w:sz w:val="18"/>
        <w:szCs w:val="18"/>
      </w:rPr>
      <w:t xml:space="preserve">Page </w:t>
    </w:r>
    <w:r>
      <w:rPr>
        <w:rFonts w:ascii="Calibri" w:cs="Calibri" w:eastAsia="Calibri" w:hAnsi="Calibri"/>
        <w:color w:val="5A6B7C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A6B7C"/>
        <w:sz w:val="18"/>
        <w:szCs w:val="18"/>
      </w:rPr>
      <w:t xml:space="preserve"> sur </w:t>
    </w:r>
    <w:r>
      <w:rPr>
        <w:rFonts w:ascii="Calibri" w:cs="Calibri" w:eastAsia="Calibri" w:hAnsi="Calibri"/>
        <w:color w:val="5A6B7C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  <w:jc w:val="right"/>
    </w:pPr>
    <w:r>
      <w:rPr>
        <w:rFonts w:ascii="Calibri" w:cs="Calibri" w:eastAsia="Calibri" w:hAnsi="Calibri"/>
        <w:i/>
        <w:iCs/>
        <w:color w:val="5A6B7C"/>
        <w:sz w:val="18"/>
        <w:szCs w:val="18"/>
      </w:rPr>
      <w:t xml:space="preserve">MSPR TPRE831 - Analyse des risques - Romaric TCHOFFO &amp; Emmanuel AMEGA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360"/>
      <w:outlineLvl w:val="0"/>
    </w:pPr>
    <w:rPr>
      <w:rFonts w:ascii="Calibri" w:cs="Calibri" w:eastAsia="Calibri" w:hAnsi="Calibri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  <w:outlineLvl w:val="1"/>
    </w:pPr>
    <w:rPr>
      <w:rFonts w:ascii="Calibri" w:cs="Calibri" w:eastAsia="Calibri" w:hAnsi="Calibri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Calibri" w:cs="Calibri" w:eastAsia="Calibri" w:hAnsi="Calibri"/>
      <w:b/>
      <w:bCs/>
      <w:color w:val="1F3A5F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Analyse des risques</dc:title>
  <dc:creator>Romaric TCHOFFO &amp; Emmanuel AMEGA</dc:creator>
  <dc:description>Livrable MSPR TPRE831 - Projet MECHA</dc:description>
  <cp:lastModifiedBy>Un-named</cp:lastModifiedBy>
  <cp:revision>1</cp:revision>
  <dcterms:created xsi:type="dcterms:W3CDTF">2026-04-21T05:11:11.708Z</dcterms:created>
  <dcterms:modified xsi:type="dcterms:W3CDTF">2026-04-21T05:11:11.709Z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