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200"/>
        <w:jc w:val="center"/>
      </w:pPr>
      <w:r>
        <w:rPr>
          <w:rFonts w:ascii="Calibri" w:cs="Calibri" w:eastAsia="Calibri" w:hAnsi="Calibri"/>
          <w:b/>
          <w:bCs/>
          <w:color w:val="2E75B6"/>
          <w:sz w:val="28"/>
          <w:szCs w:val="28"/>
        </w:rPr>
        <w:t xml:space="preserve">LIVRABLE 06</w:t>
      </w:r>
    </w:p>
    <w:p>
      <w:pPr>
        <w:spacing w:after="200"/>
        <w:jc w:val="center"/>
      </w:pPr>
      <w:r>
        <w:rPr>
          <w:rFonts w:ascii="Calibri" w:cs="Calibri" w:eastAsia="Calibri" w:hAnsi="Calibri"/>
          <w:b/>
          <w:bCs/>
          <w:color w:val="1F3A5F"/>
          <w:sz w:val="48"/>
          <w:szCs w:val="48"/>
        </w:rPr>
        <w:t xml:space="preserve">Note de faisabilite</w:t>
      </w:r>
    </w:p>
    <w:p>
      <w:pPr>
        <w:spacing w:after="800"/>
        <w:jc w:val="center"/>
      </w:pPr>
      <w:r>
        <w:rPr>
          <w:rFonts w:ascii="Calibri" w:cs="Calibri" w:eastAsia="Calibri" w:hAnsi="Calibri"/>
          <w:i/>
          <w:iCs/>
          <w:color w:val="5A6B7C"/>
          <w:sz w:val="28"/>
          <w:szCs w:val="28"/>
        </w:rPr>
        <w:t xml:space="preserve">Synthese decisionnelle pour la Direction generale</w:t>
      </w:r>
    </w:p>
    <w:p>
      <w:pPr>
        <w:spacing w:after="400"/>
        <w:jc w:val="center"/>
      </w:pPr>
      <w:r>
        <w:rPr>
          <w:rFonts w:ascii="Calibri" w:cs="Calibri" w:eastAsia="Calibri" w:hAnsi="Calibri"/>
          <w:color w:val="2E75B6"/>
        </w:rPr>
        <w:t xml:space="preserve">━━━━━━━━━━━━━━━━━━━━━━━━━━━━━━━━━━━</w:t>
      </w:r>
    </w:p>
    <w:p>
      <w:pPr>
        <w:spacing w:after="120"/>
        <w:jc w:val="center"/>
      </w:pPr>
      <w:r>
        <w:rPr>
          <w:rFonts w:ascii="Calibri" w:cs="Calibri" w:eastAsia="Calibri" w:hAnsi="Calibri"/>
          <w:b/>
          <w:bCs/>
          <w:sz w:val="28"/>
          <w:szCs w:val="28"/>
        </w:rPr>
        <w:t xml:space="preserve">Projet MECHA</w:t>
      </w:r>
    </w:p>
    <w:p>
      <w:pPr>
        <w:spacing w:after="400"/>
        <w:jc w:val="center"/>
      </w:pPr>
      <w:r>
        <w:rPr>
          <w:rFonts w:ascii="Calibri" w:cs="Calibri" w:eastAsia="Calibri" w:hAnsi="Calibri"/>
          <w:i/>
          <w:iCs/>
          <w:color w:val="5A6B7C"/>
          <w:sz w:val="24"/>
          <w:szCs w:val="24"/>
        </w:rPr>
        <w:t xml:space="preserve">PoC Pilotage industriel et IA predictive</w:t>
      </w:r>
    </w:p>
    <w:p>
      <w:pPr>
        <w:spacing w:after="120"/>
        <w:jc w:val="center"/>
      </w:pPr>
      <w:r>
        <w:rPr>
          <w:rFonts w:ascii="Calibri" w:cs="Calibri" w:eastAsia="Calibri" w:hAnsi="Calibri"/>
          <w:sz w:val="22"/>
          <w:szCs w:val="22"/>
        </w:rPr>
        <w:t xml:space="preserve">MSPR TPRE831 - Bloc 3</w:t>
      </w:r>
    </w:p>
    <w:p>
      <w:pPr>
        <w:spacing w:after="600"/>
        <w:jc w:val="center"/>
      </w:pPr>
      <w:r>
        <w:rPr>
          <w:rFonts w:ascii="Calibri" w:cs="Calibri" w:eastAsia="Calibri" w:hAnsi="Calibri"/>
          <w:color w:val="5A6B7C"/>
          <w:sz w:val="20"/>
          <w:szCs w:val="20"/>
        </w:rPr>
        <w:t xml:space="preserve">Certification RNCP 35584 - Expert en Informatique et Systeme d'Information</w:t>
      </w:r>
    </w:p>
    <w:p>
      <w:pPr>
        <w:spacing w:after="400"/>
        <w:jc w:val="center"/>
      </w:pPr>
      <w:r>
        <w:rPr>
          <w:rFonts w:ascii="Calibri" w:cs="Calibri" w:eastAsia="Calibri" w:hAnsi="Calibri"/>
          <w:color w:val="2E75B6"/>
        </w:rPr>
        <w:t xml:space="preserve">━━━━━━━━━━━━━━━━━━━━━━━━━━━━━━━━━━━</w:t>
      </w:r>
    </w:p>
    <w:p>
      <w:pPr>
        <w:spacing w:after="160"/>
        <w:jc w:val="center"/>
      </w:pPr>
      <w:r>
        <w:rPr>
          <w:rFonts w:ascii="Calibri" w:cs="Calibri" w:eastAsia="Calibri" w:hAnsi="Calibri"/>
          <w:b/>
          <w:bCs/>
          <w:sz w:val="22"/>
          <w:szCs w:val="22"/>
        </w:rPr>
        <w:t xml:space="preserve">Equipe projet</w:t>
      </w:r>
    </w:p>
    <w:p>
      <w:pPr>
        <w:spacing w:after="80"/>
        <w:jc w:val="center"/>
      </w:pPr>
      <w:r>
        <w:rPr>
          <w:rFonts w:ascii="Calibri" w:cs="Calibri" w:eastAsia="Calibri" w:hAnsi="Calibri"/>
          <w:b/>
          <w:bCs/>
          <w:sz w:val="24"/>
          <w:szCs w:val="24"/>
        </w:rPr>
        <w:t xml:space="preserve">Romaric TCHOFFO</w:t>
      </w:r>
    </w:p>
    <w:p>
      <w:pPr>
        <w:spacing w:after="600"/>
        <w:jc w:val="center"/>
      </w:pPr>
      <w:r>
        <w:rPr>
          <w:rFonts w:ascii="Calibri" w:cs="Calibri" w:eastAsia="Calibri" w:hAnsi="Calibri"/>
          <w:b/>
          <w:bCs/>
          <w:sz w:val="24"/>
          <w:szCs w:val="24"/>
        </w:rPr>
        <w:t xml:space="preserve">Emmanuel AMEGA</w:t>
      </w:r>
    </w:p>
    <w:p>
      <w:pPr>
        <w:jc w:val="center"/>
      </w:pPr>
      <w:r>
        <w:rPr>
          <w:rFonts w:ascii="Calibri" w:cs="Calibri" w:eastAsia="Calibri" w:hAnsi="Calibri"/>
          <w:color w:val="5A6B7C"/>
          <w:sz w:val="20"/>
          <w:szCs w:val="20"/>
        </w:rPr>
        <w:t xml:space="preserve">EPSI - Mastere Expert en Intelligence Artificielle - 2025/2026</w:t>
      </w:r>
    </w:p>
    <w:p>
      <w:pPr>
        <w:pStyle w:val="Heading1"/>
        <w:pageBreakBefore/>
        <w:spacing w:after="240" w:before="360"/>
      </w:pPr>
      <w:r>
        <w:rPr>
          <w:rFonts w:ascii="Calibri" w:cs="Calibri" w:eastAsia="Calibri" w:hAnsi="Calibri"/>
          <w:b/>
          <w:bCs/>
          <w:color w:val="1F3A5F"/>
          <w:sz w:val="32"/>
          <w:szCs w:val="32"/>
        </w:rPr>
        <w:t xml:space="preserve">Sommaire</w:t>
      </w:r>
    </w:p>
    <w:sdt>
      <w:sdtPr>
        <w:alias w:val="Table des matieres"/>
      </w:sdtPr>
      <w:sdtContent>
        <w:p>
          <w:r>
            <w:fldChar w:fldCharType="begin" w:dirty="true"/>
            <w:instrText xml:space="preserve">TOC \h \o "1-3"</w:instrText>
            <w:fldChar w:fldCharType="separate"/>
          </w:r>
        </w:p>
        <w:p>
          <w:r>
            <w:fldChar w:fldCharType="end"/>
          </w:r>
        </w:p>
      </w:sdtContent>
    </w:sdt>
    <w:p>
      <w:pPr>
        <w:pStyle w:val="Heading1"/>
        <w:pageBreakBefore/>
        <w:spacing w:after="240" w:before="360"/>
      </w:pPr>
      <w:r>
        <w:rPr>
          <w:rFonts w:ascii="Calibri" w:cs="Calibri" w:eastAsia="Calibri" w:hAnsi="Calibri"/>
          <w:b/>
          <w:bCs/>
          <w:color w:val="1F3A5F"/>
          <w:sz w:val="32"/>
          <w:szCs w:val="32"/>
        </w:rPr>
        <w:t xml:space="preserve">1. Synthese a l'attention de la Direction generale</w:t>
      </w:r>
    </w:p>
    <w:p>
      <w:pPr>
        <w:spacing w:after="120" w:line="300"/>
        <w:jc w:val="both"/>
      </w:pPr>
      <w:r>
        <w:rPr>
          <w:rFonts w:ascii="Calibri" w:cs="Calibri" w:eastAsia="Calibri" w:hAnsi="Calibri"/>
          <w:sz w:val="22"/>
          <w:szCs w:val="22"/>
        </w:rPr>
        <w:t xml:space="preserve">La Direction generale de MECHA a engage au debut de l'exercice une reflexion sur la modernisation du pilotage industriel du groupe. Le Proof of Concept realise sur les usines FR-01 et ES-01 apporte les elements de decision necessaires a l'arbitrage d'un lancement en phase pilote puis en generalisation sur les cinq sites.</w:t>
      </w:r>
    </w:p>
    <w:p>
      <w:pPr>
        <w:spacing w:after="120" w:line="300"/>
        <w:jc w:val="both"/>
      </w:pPr>
      <w:r>
        <w:rPr>
          <w:rFonts w:ascii="Calibri" w:cs="Calibri" w:eastAsia="Calibri" w:hAnsi="Calibri"/>
          <w:sz w:val="22"/>
          <w:szCs w:val="22"/>
        </w:rPr>
        <w:t xml:space="preserve">Le bilan du PoC est positif sur l'ensemble des dimensions techniques, metier et organisationnelles. La faisabilite de l'approche est demontree, les bases techniques sont solides et le retour sur investissement est attractif. Cette note formalise la recommandation de l'equipe projet.</w:t>
      </w:r>
    </w:p>
    <w:p>
      <w:pPr>
        <w:pStyle w:val="Heading2"/>
        <w:spacing w:after="160" w:before="300"/>
      </w:pPr>
      <w:r>
        <w:rPr>
          <w:rFonts w:ascii="Calibri" w:cs="Calibri" w:eastAsia="Calibri" w:hAnsi="Calibri"/>
          <w:b/>
          <w:bCs/>
          <w:color w:val="2E75B6"/>
          <w:sz w:val="26"/>
          <w:szCs w:val="26"/>
        </w:rPr>
        <w:t xml:space="preserve">1.1. Recommandation principale</w:t>
      </w:r>
    </w:p>
    <w:p>
      <w:pPr>
        <w:spacing w:after="120" w:line="300"/>
        <w:jc w:val="both"/>
      </w:pPr>
      <w:r>
        <w:rPr>
          <w:rFonts w:ascii="Calibri" w:cs="Calibri" w:eastAsia="Calibri" w:hAnsi="Calibri"/>
          <w:sz w:val="22"/>
          <w:szCs w:val="22"/>
        </w:rPr>
        <w:t xml:space="preserve">L'equipe recommande a la Direction generale de LANCER la phase pilote (phase 2) sur les usines FR-01 et ES-01 en conditions de production reelles, avec une duree de 6 mois et un budget estime entre 100 et 165 k EUR, en vue d'une generalisation aux trois sites restants en phase 3.</w:t>
      </w:r>
    </w:p>
    <w:p>
      <w:pPr>
        <w:spacing w:after="120" w:line="300"/>
        <w:jc w:val="both"/>
      </w:pPr>
      <w:r>
        <w:rPr>
          <w:rFonts w:ascii="Calibri" w:cs="Calibri" w:eastAsia="Calibri" w:hAnsi="Calibri"/>
          <w:sz w:val="22"/>
          <w:szCs w:val="22"/>
        </w:rPr>
        <w:t xml:space="preserve">Cette recommandation repose sur quatre constats issus du PoC :</w:t>
      </w:r>
    </w:p>
    <w:p>
      <w:pPr>
        <w:pStyle w:val="ListParagraph"/>
        <w:numPr>
          <w:ilvl w:val="0"/>
          <w:numId w:val="2"/>
        </w:numPr>
        <w:spacing w:after="80" w:line="280"/>
      </w:pPr>
      <w:r>
        <w:rPr>
          <w:rFonts w:ascii="Calibri" w:cs="Calibri" w:eastAsia="Calibri" w:hAnsi="Calibri"/>
          <w:sz w:val="22"/>
          <w:szCs w:val="22"/>
        </w:rPr>
        <w:t xml:space="preserve">La faisabilite technique est demontree : l'architecture et la stack technologique sont adaptees au contexte MECHA.</w:t>
      </w:r>
    </w:p>
    <w:p>
      <w:pPr>
        <w:pStyle w:val="ListParagraph"/>
        <w:numPr>
          <w:ilvl w:val="0"/>
          <w:numId w:val="2"/>
        </w:numPr>
        <w:spacing w:after="80" w:line="280"/>
      </w:pPr>
      <w:r>
        <w:rPr>
          <w:rFonts w:ascii="Calibri" w:cs="Calibri" w:eastAsia="Calibri" w:hAnsi="Calibri"/>
          <w:sz w:val="22"/>
          <w:szCs w:val="22"/>
        </w:rPr>
        <w:t xml:space="preserve">La valeur metier est mesurable : les indicateurs prevus sont tous calculables, le modele predictif depasse largement les seuils de performance requis.</w:t>
      </w:r>
    </w:p>
    <w:p>
      <w:pPr>
        <w:pStyle w:val="ListParagraph"/>
        <w:numPr>
          <w:ilvl w:val="0"/>
          <w:numId w:val="2"/>
        </w:numPr>
        <w:spacing w:after="80" w:line="280"/>
      </w:pPr>
      <w:r>
        <w:rPr>
          <w:rFonts w:ascii="Calibri" w:cs="Calibri" w:eastAsia="Calibri" w:hAnsi="Calibri"/>
          <w:sz w:val="22"/>
          <w:szCs w:val="22"/>
        </w:rPr>
        <w:t xml:space="preserve">Le risque d'echec est faible et bien identifie : les principaux risques ont ete cartographies et des mesures de mitigation sont proposees.</w:t>
      </w:r>
    </w:p>
    <w:p>
      <w:pPr>
        <w:pStyle w:val="ListParagraph"/>
        <w:numPr>
          <w:ilvl w:val="0"/>
          <w:numId w:val="2"/>
        </w:numPr>
        <w:spacing w:after="80" w:line="280"/>
      </w:pPr>
      <w:r>
        <w:rPr>
          <w:rFonts w:ascii="Calibri" w:cs="Calibri" w:eastAsia="Calibri" w:hAnsi="Calibri"/>
          <w:sz w:val="22"/>
          <w:szCs w:val="22"/>
        </w:rPr>
        <w:t xml:space="preserve">Le retour sur investissement est rapide : 4 a 6 mois selon les hypotheses, avec des gains recurrents ensuite.</w:t>
      </w:r>
    </w:p>
    <w:p>
      <w:pPr>
        <w:pStyle w:val="Heading2"/>
        <w:spacing w:after="160" w:before="300"/>
      </w:pPr>
      <w:r>
        <w:rPr>
          <w:rFonts w:ascii="Calibri" w:cs="Calibri" w:eastAsia="Calibri" w:hAnsi="Calibri"/>
          <w:b/>
          <w:bCs/>
          <w:color w:val="2E75B6"/>
          <w:sz w:val="26"/>
          <w:szCs w:val="26"/>
        </w:rPr>
        <w:t xml:space="preserve">1.2. Chiffres cles du PoC</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6500"/>
        <w:gridCol w:w="3460"/>
      </w:tblGrid>
      <w:tr>
        <w:trPr>
          <w:tblHeader/>
        </w:trPr>
        <w:tc>
          <w:tcPr>
            <w:tcW w:type="dxa" w:w="65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Indicateur</w:t>
            </w:r>
          </w:p>
        </w:tc>
        <w:tc>
          <w:tcPr>
            <w:tcW w:type="dxa" w:w="34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Valeur</w:t>
            </w:r>
          </w:p>
        </w:tc>
      </w:tr>
      <w:tr>
        <w:tc>
          <w:tcPr>
            <w:tcW w:type="dxa" w:w="65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Couverture de la grille de competences MSPR</w:t>
            </w:r>
          </w:p>
        </w:tc>
        <w:tc>
          <w:tcPr>
            <w:tcW w:type="dxa" w:w="34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9 / 9 (100 %)</w:t>
            </w:r>
          </w:p>
        </w:tc>
      </w:tr>
      <w:tr>
        <w:tc>
          <w:tcPr>
            <w:tcW w:type="dxa" w:w="6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Qualite des donnees apres nettoyage (completude)</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100 %</w:t>
            </w:r>
          </w:p>
        </w:tc>
      </w:tr>
      <w:tr>
        <w:tc>
          <w:tcPr>
            <w:tcW w:type="dxa" w:w="65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Performance du modele predictif (PR-AUC)</w:t>
            </w:r>
          </w:p>
        </w:tc>
        <w:tc>
          <w:tcPr>
            <w:tcW w:type="dxa" w:w="34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0,705 (seuil requis &gt; 0,5)</w:t>
            </w:r>
          </w:p>
        </w:tc>
      </w:tr>
      <w:tr>
        <w:tc>
          <w:tcPr>
            <w:tcW w:type="dxa" w:w="6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Rappel sur la classe panne</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82 %</w:t>
            </w:r>
          </w:p>
        </w:tc>
      </w:tr>
      <w:tr>
        <w:tc>
          <w:tcPr>
            <w:tcW w:type="dxa" w:w="65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Precision sur la classe panne</w:t>
            </w:r>
          </w:p>
        </w:tc>
        <w:tc>
          <w:tcPr>
            <w:tcW w:type="dxa" w:w="34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60 %</w:t>
            </w:r>
          </w:p>
        </w:tc>
      </w:tr>
      <w:tr>
        <w:tc>
          <w:tcPr>
            <w:tcW w:type="dxa" w:w="6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Pages dashboard livrees</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5</w:t>
            </w:r>
          </w:p>
        </w:tc>
      </w:tr>
      <w:tr>
        <w:tc>
          <w:tcPr>
            <w:tcW w:type="dxa" w:w="65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Notebooks executables</w:t>
            </w:r>
          </w:p>
        </w:tc>
        <w:tc>
          <w:tcPr>
            <w:tcW w:type="dxa" w:w="34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9</w:t>
            </w:r>
          </w:p>
        </w:tc>
      </w:tr>
      <w:tr>
        <w:tc>
          <w:tcPr>
            <w:tcW w:type="dxa" w:w="6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Livrables documentaires</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6 + rapport de soutenance</w:t>
            </w:r>
          </w:p>
        </w:tc>
      </w:tr>
    </w:tbl>
    <w:p>
      <w:pPr>
        <w:spacing w:after="200"/>
      </w:pPr>
      <w:r>
        <w:t xml:space="preserve"/>
      </w:r>
    </w:p>
    <w:p>
      <w:pPr>
        <w:pStyle w:val="Heading1"/>
        <w:pageBreakBefore/>
        <w:spacing w:after="240" w:before="360"/>
      </w:pPr>
      <w:r>
        <w:rPr>
          <w:rFonts w:ascii="Calibri" w:cs="Calibri" w:eastAsia="Calibri" w:hAnsi="Calibri"/>
          <w:b/>
          <w:bCs/>
          <w:color w:val="1F3A5F"/>
          <w:sz w:val="32"/>
          <w:szCs w:val="32"/>
        </w:rPr>
        <w:t xml:space="preserve">2. Faisabilite technique</w:t>
      </w:r>
    </w:p>
    <w:p>
      <w:pPr>
        <w:pStyle w:val="Heading2"/>
        <w:spacing w:after="160" w:before="300"/>
      </w:pPr>
      <w:r>
        <w:rPr>
          <w:rFonts w:ascii="Calibri" w:cs="Calibri" w:eastAsia="Calibri" w:hAnsi="Calibri"/>
          <w:b/>
          <w:bCs/>
          <w:color w:val="2E75B6"/>
          <w:sz w:val="26"/>
          <w:szCs w:val="26"/>
        </w:rPr>
        <w:t xml:space="preserve">2.1. Architecture validee</w:t>
      </w:r>
    </w:p>
    <w:p>
      <w:pPr>
        <w:spacing w:after="120" w:line="300"/>
        <w:jc w:val="both"/>
      </w:pPr>
      <w:r>
        <w:rPr>
          <w:rFonts w:ascii="Calibri" w:cs="Calibri" w:eastAsia="Calibri" w:hAnsi="Calibri"/>
          <w:sz w:val="22"/>
          <w:szCs w:val="22"/>
        </w:rPr>
        <w:t xml:space="preserve">L'architecture en medaille (bronze, silver, gold) associee a un entrepot multidimensionnel en etoile a fait ses preuves sur le perimetre du PoC. Elle se revele :</w:t>
      </w:r>
    </w:p>
    <w:p>
      <w:pPr>
        <w:pStyle w:val="ListParagraph"/>
        <w:numPr>
          <w:ilvl w:val="0"/>
          <w:numId w:val="2"/>
        </w:numPr>
        <w:spacing w:after="80" w:line="280"/>
      </w:pPr>
      <w:r>
        <w:rPr>
          <w:rFonts w:ascii="Calibri" w:cs="Calibri" w:eastAsia="Calibri" w:hAnsi="Calibri"/>
          <w:sz w:val="22"/>
          <w:szCs w:val="22"/>
        </w:rPr>
        <w:t xml:space="preserve">Suffisamment simple pour etre maintenue par une petite equipe data.</w:t>
      </w:r>
    </w:p>
    <w:p>
      <w:pPr>
        <w:pStyle w:val="ListParagraph"/>
        <w:numPr>
          <w:ilvl w:val="0"/>
          <w:numId w:val="2"/>
        </w:numPr>
        <w:spacing w:after="80" w:line="280"/>
      </w:pPr>
      <w:r>
        <w:rPr>
          <w:rFonts w:ascii="Calibri" w:cs="Calibri" w:eastAsia="Calibri" w:hAnsi="Calibri"/>
          <w:sz w:val="22"/>
          <w:szCs w:val="22"/>
        </w:rPr>
        <w:t xml:space="preserve">Suffisamment structurante pour garantir la tracabilite et la reproductibilite.</w:t>
      </w:r>
    </w:p>
    <w:p>
      <w:pPr>
        <w:pStyle w:val="ListParagraph"/>
        <w:numPr>
          <w:ilvl w:val="0"/>
          <w:numId w:val="2"/>
        </w:numPr>
        <w:spacing w:after="80" w:line="280"/>
      </w:pPr>
      <w:r>
        <w:rPr>
          <w:rFonts w:ascii="Calibri" w:cs="Calibri" w:eastAsia="Calibri" w:hAnsi="Calibri"/>
          <w:sz w:val="22"/>
          <w:szCs w:val="22"/>
        </w:rPr>
        <w:t xml:space="preserve">Evolutive : les composants peuvent etre remplaces un par un sans refonte globale.</w:t>
      </w:r>
    </w:p>
    <w:p>
      <w:pPr>
        <w:pStyle w:val="Heading2"/>
        <w:spacing w:after="160" w:before="300"/>
      </w:pPr>
      <w:r>
        <w:rPr>
          <w:rFonts w:ascii="Calibri" w:cs="Calibri" w:eastAsia="Calibri" w:hAnsi="Calibri"/>
          <w:b/>
          <w:bCs/>
          <w:color w:val="2E75B6"/>
          <w:sz w:val="26"/>
          <w:szCs w:val="26"/>
        </w:rPr>
        <w:t xml:space="preserve">2.2. Chaine de donnees testee</w:t>
      </w:r>
    </w:p>
    <w:p>
      <w:pPr>
        <w:spacing w:after="120" w:line="300"/>
        <w:jc w:val="both"/>
      </w:pPr>
      <w:r>
        <w:rPr>
          <w:rFonts w:ascii="Calibri" w:cs="Calibri" w:eastAsia="Calibri" w:hAnsi="Calibri"/>
          <w:sz w:val="22"/>
          <w:szCs w:val="22"/>
        </w:rPr>
        <w:t xml:space="preserve">L'ensemble de la chaine de valeur de la donnee a ete testee avec succes :</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960"/>
      </w:tblGrid>
      <w:tr>
        <w:trPr>
          <w:tblHeader/>
        </w:trPr>
        <w:tc>
          <w:tcPr>
            <w:tcW w:type="dxa" w:w="3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Etape</w:t>
            </w:r>
          </w:p>
        </w:tc>
        <w:tc>
          <w:tcPr>
            <w:tcW w:type="dxa" w:w="4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Outil</w:t>
            </w:r>
          </w:p>
        </w:tc>
        <w:tc>
          <w:tcPr>
            <w:tcW w:type="dxa" w:w="29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Statut</w:t>
            </w:r>
          </w:p>
        </w:tc>
      </w:tr>
      <w:tr>
        <w:tc>
          <w:tcPr>
            <w:tcW w:type="dxa" w:w="3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Ingestion</w:t>
            </w:r>
          </w:p>
        </w:tc>
        <w:tc>
          <w:tcPr>
            <w:tcW w:type="dxa" w:w="4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Python + Parquet + DVC</w:t>
            </w:r>
          </w:p>
        </w:tc>
        <w:tc>
          <w:tcPr>
            <w:tcW w:type="dxa" w:w="29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Operationnel</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Qualite</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Pandera + regles custom</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Operationnel</w:t>
            </w:r>
          </w:p>
        </w:tc>
      </w:tr>
      <w:tr>
        <w:tc>
          <w:tcPr>
            <w:tcW w:type="dxa" w:w="3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Transformation</w:t>
            </w:r>
          </w:p>
        </w:tc>
        <w:tc>
          <w:tcPr>
            <w:tcW w:type="dxa" w:w="4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Pandas</w:t>
            </w:r>
          </w:p>
        </w:tc>
        <w:tc>
          <w:tcPr>
            <w:tcW w:type="dxa" w:w="29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Operationnel</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Stockage analytique</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DuckDB + modele etoile</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Operationnel</w:t>
            </w:r>
          </w:p>
        </w:tc>
      </w:tr>
      <w:tr>
        <w:tc>
          <w:tcPr>
            <w:tcW w:type="dxa" w:w="3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Machine Learning</w:t>
            </w:r>
          </w:p>
        </w:tc>
        <w:tc>
          <w:tcPr>
            <w:tcW w:type="dxa" w:w="4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scikit-learn + XGBoost + MLflow</w:t>
            </w:r>
          </w:p>
        </w:tc>
        <w:tc>
          <w:tcPr>
            <w:tcW w:type="dxa" w:w="29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Operationnel</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Alertes</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Moteur 3 couches (regles + stat + ML)</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Operationnel</w:t>
            </w:r>
          </w:p>
        </w:tc>
      </w:tr>
      <w:tr>
        <w:tc>
          <w:tcPr>
            <w:tcW w:type="dxa" w:w="3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Restitution</w:t>
            </w:r>
          </w:p>
        </w:tc>
        <w:tc>
          <w:tcPr>
            <w:tcW w:type="dxa" w:w="4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Streamlit + Plotly</w:t>
            </w:r>
          </w:p>
        </w:tc>
        <w:tc>
          <w:tcPr>
            <w:tcW w:type="dxa" w:w="29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Operationnel</w:t>
            </w:r>
          </w:p>
        </w:tc>
      </w:tr>
    </w:tbl>
    <w:p>
      <w:pPr>
        <w:spacing w:after="200"/>
      </w:pPr>
      <w:r>
        <w:t xml:space="preserve"/>
      </w:r>
    </w:p>
    <w:p>
      <w:pPr>
        <w:pStyle w:val="Heading2"/>
        <w:spacing w:after="160" w:before="300"/>
      </w:pPr>
      <w:r>
        <w:rPr>
          <w:rFonts w:ascii="Calibri" w:cs="Calibri" w:eastAsia="Calibri" w:hAnsi="Calibri"/>
          <w:b/>
          <w:bCs/>
          <w:color w:val="2E75B6"/>
          <w:sz w:val="26"/>
          <w:szCs w:val="26"/>
        </w:rPr>
        <w:t xml:space="preserve">2.3. Performance du modele ML</w:t>
      </w:r>
    </w:p>
    <w:p>
      <w:pPr>
        <w:spacing w:after="120" w:line="300"/>
        <w:jc w:val="both"/>
      </w:pPr>
      <w:r>
        <w:rPr>
          <w:rFonts w:ascii="Calibri" w:cs="Calibri" w:eastAsia="Calibri" w:hAnsi="Calibri"/>
          <w:sz w:val="22"/>
          <w:szCs w:val="22"/>
        </w:rPr>
        <w:t xml:space="preserve">Le modele XGBoost retenu atteint un PR-AUC de 0,705, soit un depassement de 41 % du seuil minimal (0,5) exige par le cahier des charges MSPR. En comparaison :</w:t>
      </w:r>
    </w:p>
    <w:p>
      <w:pPr>
        <w:pStyle w:val="ListParagraph"/>
        <w:numPr>
          <w:ilvl w:val="0"/>
          <w:numId w:val="2"/>
        </w:numPr>
        <w:spacing w:after="80" w:line="280"/>
      </w:pPr>
      <w:r>
        <w:rPr>
          <w:rFonts w:ascii="Calibri" w:cs="Calibri" w:eastAsia="Calibri" w:hAnsi="Calibri"/>
          <w:sz w:val="22"/>
          <w:szCs w:val="22"/>
        </w:rPr>
        <w:t xml:space="preserve">Regression logistique (baseline) : PR-AUC 0,361 - insuffisant.</w:t>
      </w:r>
    </w:p>
    <w:p>
      <w:pPr>
        <w:pStyle w:val="ListParagraph"/>
        <w:numPr>
          <w:ilvl w:val="0"/>
          <w:numId w:val="2"/>
        </w:numPr>
        <w:spacing w:after="80" w:line="280"/>
      </w:pPr>
      <w:r>
        <w:rPr>
          <w:rFonts w:ascii="Calibri" w:cs="Calibri" w:eastAsia="Calibri" w:hAnsi="Calibri"/>
          <w:sz w:val="22"/>
          <w:szCs w:val="22"/>
        </w:rPr>
        <w:t xml:space="preserve">Random Forest : PR-AUC 0,636 - valide.</w:t>
      </w:r>
    </w:p>
    <w:p>
      <w:pPr>
        <w:pStyle w:val="ListParagraph"/>
        <w:numPr>
          <w:ilvl w:val="0"/>
          <w:numId w:val="2"/>
        </w:numPr>
        <w:spacing w:after="80" w:line="280"/>
      </w:pPr>
      <w:r>
        <w:rPr>
          <w:rFonts w:ascii="Calibri" w:cs="Calibri" w:eastAsia="Calibri" w:hAnsi="Calibri"/>
          <w:sz w:val="22"/>
          <w:szCs w:val="22"/>
        </w:rPr>
        <w:t xml:space="preserve">XGBoost : PR-AUC 0,705 - selectionne.</w:t>
      </w:r>
    </w:p>
    <w:p>
      <w:pPr>
        <w:spacing w:after="120" w:line="300"/>
        <w:jc w:val="both"/>
      </w:pPr>
      <w:r>
        <w:rPr>
          <w:rFonts w:ascii="Calibri" w:cs="Calibri" w:eastAsia="Calibri" w:hAnsi="Calibri"/>
          <w:sz w:val="22"/>
          <w:szCs w:val="22"/>
        </w:rPr>
        <w:t xml:space="preserve">Sur le plan operationnel, le modele XGBoost detecte 82 % des pannes reelles avec une precision de 60 %. Concretement : sur 100 alertes levees par le modele, 60 correspondent a des pannes reelles, ce qui est acceptable pour un premier deploiement. Ce ratio pourra etre ajuste dans le temps en modifiant le seuil de decision (actuellement a 30 %).</w:t>
      </w:r>
    </w:p>
    <w:p>
      <w:pPr>
        <w:pStyle w:val="Heading2"/>
        <w:spacing w:after="160" w:before="300"/>
      </w:pPr>
      <w:r>
        <w:rPr>
          <w:rFonts w:ascii="Calibri" w:cs="Calibri" w:eastAsia="Calibri" w:hAnsi="Calibri"/>
          <w:b/>
          <w:bCs/>
          <w:color w:val="2E75B6"/>
          <w:sz w:val="26"/>
          <w:szCs w:val="26"/>
        </w:rPr>
        <w:t xml:space="preserve">2.4. Robustesse aux donnees degradees</w:t>
      </w:r>
    </w:p>
    <w:p>
      <w:pPr>
        <w:spacing w:after="120" w:line="300"/>
        <w:jc w:val="both"/>
      </w:pPr>
      <w:r>
        <w:rPr>
          <w:rFonts w:ascii="Calibri" w:cs="Calibri" w:eastAsia="Calibri" w:hAnsi="Calibri"/>
          <w:sz w:val="22"/>
          <w:szCs w:val="22"/>
        </w:rPr>
        <w:t xml:space="preserve">Le PoC a ete volontairement construit sur des donnees enrichies de defauts realistes (manquants, doublons, valeurs sentinelles, incoherences d'encodage). La chaine de traitement a absorbe ces defauts sans incident, ce qui demontre la robustesse de l'architecture face aux conditions reelles d'exploitation.</w:t>
      </w:r>
    </w:p>
    <w:p>
      <w:pPr>
        <w:pStyle w:val="Heading1"/>
        <w:pageBreakBefore/>
        <w:spacing w:after="240" w:before="360"/>
      </w:pPr>
      <w:r>
        <w:rPr>
          <w:rFonts w:ascii="Calibri" w:cs="Calibri" w:eastAsia="Calibri" w:hAnsi="Calibri"/>
          <w:b/>
          <w:bCs/>
          <w:color w:val="1F3A5F"/>
          <w:sz w:val="32"/>
          <w:szCs w:val="32"/>
        </w:rPr>
        <w:t xml:space="preserve">3. Faisabilite metier</w:t>
      </w:r>
    </w:p>
    <w:p>
      <w:pPr>
        <w:pStyle w:val="Heading2"/>
        <w:spacing w:after="160" w:before="300"/>
      </w:pPr>
      <w:r>
        <w:rPr>
          <w:rFonts w:ascii="Calibri" w:cs="Calibri" w:eastAsia="Calibri" w:hAnsi="Calibri"/>
          <w:b/>
          <w:bCs/>
          <w:color w:val="2E75B6"/>
          <w:sz w:val="26"/>
          <w:szCs w:val="26"/>
        </w:rPr>
        <w:t xml:space="preserve">3.1. Couverture des besoins exprimes</w:t>
      </w:r>
    </w:p>
    <w:p>
      <w:pPr>
        <w:spacing w:after="120" w:line="300"/>
        <w:jc w:val="both"/>
      </w:pPr>
      <w:r>
        <w:rPr>
          <w:rFonts w:ascii="Calibri" w:cs="Calibri" w:eastAsia="Calibri" w:hAnsi="Calibri"/>
          <w:sz w:val="22"/>
          <w:szCs w:val="22"/>
        </w:rPr>
        <w:t xml:space="preserve">Les six besoins metier formules par la Direction dans le cahier des charges sont tous couverts par le PoC :</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960"/>
      </w:tblGrid>
      <w:tr>
        <w:trPr>
          <w:tblHeader/>
        </w:trPr>
        <w:tc>
          <w:tcPr>
            <w:tcW w:type="dxa" w:w="3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Besoin</w:t>
            </w:r>
          </w:p>
        </w:tc>
        <w:tc>
          <w:tcPr>
            <w:tcW w:type="dxa" w:w="2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Couverture PoC</w:t>
            </w:r>
          </w:p>
        </w:tc>
        <w:tc>
          <w:tcPr>
            <w:tcW w:type="dxa" w:w="49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Commentaire</w:t>
            </w:r>
          </w:p>
        </w:tc>
      </w:tr>
      <w:tr>
        <w:tc>
          <w:tcPr>
            <w:tcW w:type="dxa" w:w="3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Consolider le pilotage multi-sites</w:t>
            </w:r>
          </w:p>
        </w:tc>
        <w:tc>
          <w:tcPr>
            <w:tcW w:type="dxa" w:w="2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Couvert</w:t>
            </w:r>
          </w:p>
        </w:tc>
        <w:tc>
          <w:tcPr>
            <w:tcW w:type="dxa" w:w="49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Dashboard Vue Groupe operationnel</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Detecter les derives qualite</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Couvert</w:t>
            </w:r>
          </w:p>
        </w:tc>
        <w:tc>
          <w:tcPr>
            <w:tcW w:type="dxa" w:w="4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Systeme d'alertes a 3 moteurs combines</w:t>
            </w:r>
          </w:p>
        </w:tc>
      </w:tr>
      <w:tr>
        <w:tc>
          <w:tcPr>
            <w:tcW w:type="dxa" w:w="3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Anticiper les defaillances machines</w:t>
            </w:r>
          </w:p>
        </w:tc>
        <w:tc>
          <w:tcPr>
            <w:tcW w:type="dxa" w:w="2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Couvert</w:t>
            </w:r>
          </w:p>
        </w:tc>
        <w:tc>
          <w:tcPr>
            <w:tcW w:type="dxa" w:w="49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Modele ML PR-AUC 0,705</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Standardiser les KPIs du groupe</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Couvert</w:t>
            </w:r>
          </w:p>
        </w:tc>
        <w:tc>
          <w:tcPr>
            <w:tcW w:type="dxa" w:w="4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TRS, rebut, dispo definis et calcules</w:t>
            </w:r>
          </w:p>
        </w:tc>
      </w:tr>
      <w:tr>
        <w:tc>
          <w:tcPr>
            <w:tcW w:type="dxa" w:w="3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Reduire le taux de rebut</w:t>
            </w:r>
          </w:p>
        </w:tc>
        <w:tc>
          <w:tcPr>
            <w:tcW w:type="dxa" w:w="2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A confirmer en pilote</w:t>
            </w:r>
          </w:p>
        </w:tc>
        <w:tc>
          <w:tcPr>
            <w:tcW w:type="dxa" w:w="49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Necessite donnees reelles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Optimiser la consommation energetique</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Visibilite</w:t>
            </w:r>
          </w:p>
        </w:tc>
        <w:tc>
          <w:tcPr>
            <w:tcW w:type="dxa" w:w="4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Indicateur calcule, optimisation en phase 2</w:t>
            </w:r>
          </w:p>
        </w:tc>
      </w:tr>
    </w:tbl>
    <w:p>
      <w:pPr>
        <w:spacing w:after="200"/>
      </w:pPr>
      <w:r>
        <w:t xml:space="preserve"/>
      </w:r>
    </w:p>
    <w:p>
      <w:pPr>
        <w:pStyle w:val="Heading2"/>
        <w:spacing w:after="160" w:before="300"/>
      </w:pPr>
      <w:r>
        <w:rPr>
          <w:rFonts w:ascii="Calibri" w:cs="Calibri" w:eastAsia="Calibri" w:hAnsi="Calibri"/>
          <w:b/>
          <w:bCs/>
          <w:color w:val="2E75B6"/>
          <w:sz w:val="26"/>
          <w:szCs w:val="26"/>
        </w:rPr>
        <w:t xml:space="preserve">3.2. Adequation au profil utilisateur</w:t>
      </w:r>
    </w:p>
    <w:p>
      <w:pPr>
        <w:spacing w:after="120" w:line="300"/>
        <w:jc w:val="both"/>
      </w:pPr>
      <w:r>
        <w:rPr>
          <w:rFonts w:ascii="Calibri" w:cs="Calibri" w:eastAsia="Calibri" w:hAnsi="Calibri"/>
          <w:sz w:val="22"/>
          <w:szCs w:val="22"/>
        </w:rPr>
        <w:t xml:space="preserve">Le dashboard propose cinq pages specialisees adaptees aux personas utilisateurs :</w:t>
      </w:r>
    </w:p>
    <w:p>
      <w:pPr>
        <w:pStyle w:val="ListParagraph"/>
        <w:numPr>
          <w:ilvl w:val="0"/>
          <w:numId w:val="2"/>
        </w:numPr>
        <w:spacing w:after="80" w:line="280"/>
      </w:pPr>
      <w:r>
        <w:rPr>
          <w:rFonts w:ascii="Calibri" w:cs="Calibri" w:eastAsia="Calibri" w:hAnsi="Calibri"/>
          <w:sz w:val="22"/>
          <w:szCs w:val="22"/>
        </w:rPr>
        <w:t xml:space="preserve">Direction generale et COMEX : vue synthetique groupe avec benchmarks inter-sites.</w:t>
      </w:r>
    </w:p>
    <w:p>
      <w:pPr>
        <w:pStyle w:val="ListParagraph"/>
        <w:numPr>
          <w:ilvl w:val="0"/>
          <w:numId w:val="2"/>
        </w:numPr>
        <w:spacing w:after="80" w:line="280"/>
      </w:pPr>
      <w:r>
        <w:rPr>
          <w:rFonts w:ascii="Calibri" w:cs="Calibri" w:eastAsia="Calibri" w:hAnsi="Calibri"/>
          <w:sz w:val="22"/>
          <w:szCs w:val="22"/>
        </w:rPr>
        <w:t xml:space="preserve">Responsables d'usine : detail operationnel du site, suivi horaire, alertes en direct.</w:t>
      </w:r>
    </w:p>
    <w:p>
      <w:pPr>
        <w:pStyle w:val="ListParagraph"/>
        <w:numPr>
          <w:ilvl w:val="0"/>
          <w:numId w:val="2"/>
        </w:numPr>
        <w:spacing w:after="80" w:line="280"/>
      </w:pPr>
      <w:r>
        <w:rPr>
          <w:rFonts w:ascii="Calibri" w:cs="Calibri" w:eastAsia="Calibri" w:hAnsi="Calibri"/>
          <w:sz w:val="22"/>
          <w:szCs w:val="22"/>
        </w:rPr>
        <w:t xml:space="preserve">Qualite et maintenance : tableau priorise des alertes, export vers les workflows existants.</w:t>
      </w:r>
    </w:p>
    <w:p>
      <w:pPr>
        <w:pStyle w:val="ListParagraph"/>
        <w:numPr>
          <w:ilvl w:val="0"/>
          <w:numId w:val="2"/>
        </w:numPr>
        <w:spacing w:after="80" w:line="280"/>
      </w:pPr>
      <w:r>
        <w:rPr>
          <w:rFonts w:ascii="Calibri" w:cs="Calibri" w:eastAsia="Calibri" w:hAnsi="Calibri"/>
          <w:sz w:val="22"/>
          <w:szCs w:val="22"/>
        </w:rPr>
        <w:t xml:space="preserve">Data scientists : demonstration interactive du modele ML et metriques detaillees.</w:t>
      </w:r>
    </w:p>
    <w:p>
      <w:pPr>
        <w:pStyle w:val="ListParagraph"/>
        <w:numPr>
          <w:ilvl w:val="0"/>
          <w:numId w:val="2"/>
        </w:numPr>
        <w:spacing w:after="80" w:line="280"/>
      </w:pPr>
      <w:r>
        <w:rPr>
          <w:rFonts w:ascii="Calibri" w:cs="Calibri" w:eastAsia="Calibri" w:hAnsi="Calibri"/>
          <w:sz w:val="22"/>
          <w:szCs w:val="22"/>
        </w:rPr>
        <w:t xml:space="preserve">Data engineers et DSI : rapports de qualite des donnees.</w:t>
      </w:r>
    </w:p>
    <w:p>
      <w:pPr>
        <w:pStyle w:val="Heading2"/>
        <w:spacing w:after="160" w:before="300"/>
      </w:pPr>
      <w:r>
        <w:rPr>
          <w:rFonts w:ascii="Calibri" w:cs="Calibri" w:eastAsia="Calibri" w:hAnsi="Calibri"/>
          <w:b/>
          <w:bCs/>
          <w:color w:val="2E75B6"/>
          <w:sz w:val="26"/>
          <w:szCs w:val="26"/>
        </w:rPr>
        <w:t xml:space="preserve">3.3. Valeur ajoutee attendue</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4360"/>
      </w:tblGrid>
      <w:tr>
        <w:trPr>
          <w:tblHeader/>
        </w:trPr>
        <w:tc>
          <w:tcPr>
            <w:tcW w:type="dxa" w:w="26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Axe</w:t>
            </w:r>
          </w:p>
        </w:tc>
        <w:tc>
          <w:tcPr>
            <w:tcW w:type="dxa" w:w="3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Gain attendu (sur 18 mois)</w:t>
            </w:r>
          </w:p>
        </w:tc>
        <w:tc>
          <w:tcPr>
            <w:tcW w:type="dxa" w:w="43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Mecanisme</w:t>
            </w:r>
          </w:p>
        </w:tc>
      </w:tr>
      <w:tr>
        <w:tc>
          <w:tcPr>
            <w:tcW w:type="dxa" w:w="26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TRS</w:t>
            </w:r>
          </w:p>
        </w:tc>
        <w:tc>
          <w:tcPr>
            <w:tcW w:type="dxa" w:w="3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+1 a +3 points</w:t>
            </w:r>
          </w:p>
        </w:tc>
        <w:tc>
          <w:tcPr>
            <w:tcW w:type="dxa" w:w="43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Detection precoce des derives, reduction des arrets non planifies</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Taux de rebut</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-0,5 a -1 point</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Anticipation des pannes, correction process plus reactive</w:t>
            </w:r>
          </w:p>
        </w:tc>
      </w:tr>
      <w:tr>
        <w:tc>
          <w:tcPr>
            <w:tcW w:type="dxa" w:w="26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Arrets non planifies</w:t>
            </w:r>
          </w:p>
        </w:tc>
        <w:tc>
          <w:tcPr>
            <w:tcW w:type="dxa" w:w="3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-15 a -25 %</w:t>
            </w:r>
          </w:p>
        </w:tc>
        <w:tc>
          <w:tcPr>
            <w:tcW w:type="dxa" w:w="43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Maintenance predictive ciblee</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Consommation energetique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-5 a -10 % par piece</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Optimisation des parametres process, detection des derives</w:t>
            </w:r>
          </w:p>
        </w:tc>
      </w:tr>
      <w:tr>
        <w:tc>
          <w:tcPr>
            <w:tcW w:type="dxa" w:w="26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Temps remontee alertes</w:t>
            </w:r>
          </w:p>
        </w:tc>
        <w:tc>
          <w:tcPr>
            <w:tcW w:type="dxa" w:w="3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De J+1 a T+15 min</w:t>
            </w:r>
          </w:p>
        </w:tc>
        <w:tc>
          <w:tcPr>
            <w:tcW w:type="dxa" w:w="43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Pipeline temps quasi-reel</w:t>
            </w:r>
          </w:p>
        </w:tc>
      </w:tr>
    </w:tbl>
    <w:p>
      <w:pPr>
        <w:spacing w:after="200"/>
      </w:pPr>
      <w:r>
        <w:t xml:space="preserve"/>
      </w:r>
    </w:p>
    <w:p>
      <w:pPr>
        <w:pStyle w:val="Heading1"/>
        <w:pageBreakBefore/>
        <w:spacing w:after="240" w:before="360"/>
      </w:pPr>
      <w:r>
        <w:rPr>
          <w:rFonts w:ascii="Calibri" w:cs="Calibri" w:eastAsia="Calibri" w:hAnsi="Calibri"/>
          <w:b/>
          <w:bCs/>
          <w:color w:val="1F3A5F"/>
          <w:sz w:val="32"/>
          <w:szCs w:val="32"/>
        </w:rPr>
        <w:t xml:space="preserve">4. Faisabilite organisationnelle</w:t>
      </w:r>
    </w:p>
    <w:p>
      <w:pPr>
        <w:pStyle w:val="Heading2"/>
        <w:spacing w:after="160" w:before="300"/>
      </w:pPr>
      <w:r>
        <w:rPr>
          <w:rFonts w:ascii="Calibri" w:cs="Calibri" w:eastAsia="Calibri" w:hAnsi="Calibri"/>
          <w:b/>
          <w:bCs/>
          <w:color w:val="2E75B6"/>
          <w:sz w:val="26"/>
          <w:szCs w:val="26"/>
        </w:rPr>
        <w:t xml:space="preserve">4.1. Prerequis organisationnels</w:t>
      </w:r>
    </w:p>
    <w:p>
      <w:pPr>
        <w:spacing w:after="120" w:line="300"/>
        <w:jc w:val="both"/>
      </w:pPr>
      <w:r>
        <w:rPr>
          <w:rFonts w:ascii="Calibri" w:cs="Calibri" w:eastAsia="Calibri" w:hAnsi="Calibri"/>
          <w:sz w:val="22"/>
          <w:szCs w:val="22"/>
        </w:rPr>
        <w:t xml:space="preserve">Le passage a la phase pilote suppose la levee de plusieurs prerequis organisationnels :</w:t>
      </w:r>
    </w:p>
    <w:p>
      <w:pPr>
        <w:pStyle w:val="ListParagraph"/>
        <w:numPr>
          <w:ilvl w:val="0"/>
          <w:numId w:val="2"/>
        </w:numPr>
        <w:spacing w:after="80" w:line="280"/>
      </w:pPr>
      <w:r>
        <w:rPr>
          <w:rFonts w:ascii="Calibri" w:cs="Calibri" w:eastAsia="Calibri" w:hAnsi="Calibri"/>
          <w:sz w:val="22"/>
          <w:szCs w:val="22"/>
        </w:rPr>
        <w:t xml:space="preserve">Recrutement d'un data engineer senior (poste clef de la phase pilote).</w:t>
      </w:r>
    </w:p>
    <w:p>
      <w:pPr>
        <w:pStyle w:val="ListParagraph"/>
        <w:numPr>
          <w:ilvl w:val="0"/>
          <w:numId w:val="2"/>
        </w:numPr>
        <w:spacing w:after="80" w:line="280"/>
      </w:pPr>
      <w:r>
        <w:rPr>
          <w:rFonts w:ascii="Calibri" w:cs="Calibri" w:eastAsia="Calibri" w:hAnsi="Calibri"/>
          <w:sz w:val="22"/>
          <w:szCs w:val="22"/>
        </w:rPr>
        <w:t xml:space="preserve">Nomination d'un data steward par usine (role a temps partiel).</w:t>
      </w:r>
    </w:p>
    <w:p>
      <w:pPr>
        <w:pStyle w:val="ListParagraph"/>
        <w:numPr>
          <w:ilvl w:val="0"/>
          <w:numId w:val="2"/>
        </w:numPr>
        <w:spacing w:after="80" w:line="280"/>
      </w:pPr>
      <w:r>
        <w:rPr>
          <w:rFonts w:ascii="Calibri" w:cs="Calibri" w:eastAsia="Calibri" w:hAnsi="Calibri"/>
          <w:sz w:val="22"/>
          <w:szCs w:val="22"/>
        </w:rPr>
        <w:t xml:space="preserve">Arbitrage de la DG sur la priorisation vs autres projets IT en cours.</w:t>
      </w:r>
    </w:p>
    <w:p>
      <w:pPr>
        <w:pStyle w:val="ListParagraph"/>
        <w:numPr>
          <w:ilvl w:val="0"/>
          <w:numId w:val="2"/>
        </w:numPr>
        <w:spacing w:after="80" w:line="280"/>
      </w:pPr>
      <w:r>
        <w:rPr>
          <w:rFonts w:ascii="Calibri" w:cs="Calibri" w:eastAsia="Calibri" w:hAnsi="Calibri"/>
          <w:sz w:val="22"/>
          <w:szCs w:val="22"/>
        </w:rPr>
        <w:t xml:space="preserve">Engagement des responsables d'usine a dedier du temps utilisateur pour les tests.</w:t>
      </w:r>
    </w:p>
    <w:p>
      <w:pPr>
        <w:pStyle w:val="ListParagraph"/>
        <w:numPr>
          <w:ilvl w:val="0"/>
          <w:numId w:val="2"/>
        </w:numPr>
        <w:spacing w:after="80" w:line="280"/>
      </w:pPr>
      <w:r>
        <w:rPr>
          <w:rFonts w:ascii="Calibri" w:cs="Calibri" w:eastAsia="Calibri" w:hAnsi="Calibri"/>
          <w:sz w:val="22"/>
          <w:szCs w:val="22"/>
        </w:rPr>
        <w:t xml:space="preserve">Formation du personnel DSI a la stack retenue (1 semaine de formation initiale).</w:t>
      </w:r>
    </w:p>
    <w:p>
      <w:pPr>
        <w:pStyle w:val="Heading2"/>
        <w:spacing w:after="160" w:before="300"/>
      </w:pPr>
      <w:r>
        <w:rPr>
          <w:rFonts w:ascii="Calibri" w:cs="Calibri" w:eastAsia="Calibri" w:hAnsi="Calibri"/>
          <w:b/>
          <w:bCs/>
          <w:color w:val="2E75B6"/>
          <w:sz w:val="26"/>
          <w:szCs w:val="26"/>
        </w:rPr>
        <w:t xml:space="preserve">4.2. Strategie de conduite du changement</w:t>
      </w:r>
    </w:p>
    <w:p>
      <w:pPr>
        <w:spacing w:after="120" w:line="300"/>
        <w:jc w:val="both"/>
      </w:pPr>
      <w:r>
        <w:rPr>
          <w:rFonts w:ascii="Calibri" w:cs="Calibri" w:eastAsia="Calibri" w:hAnsi="Calibri"/>
          <w:sz w:val="22"/>
          <w:szCs w:val="22"/>
        </w:rPr>
        <w:t xml:space="preserve">L'adhesion des utilisateurs finaux est le facteur de reussite le plus critique. La strategie proposee :</w:t>
      </w:r>
    </w:p>
    <w:p>
      <w:pPr>
        <w:pStyle w:val="ListParagraph"/>
        <w:numPr>
          <w:ilvl w:val="0"/>
          <w:numId w:val="2"/>
        </w:numPr>
        <w:spacing w:after="80" w:line="280"/>
      </w:pPr>
      <w:r>
        <w:rPr>
          <w:rFonts w:ascii="Calibri" w:cs="Calibri" w:eastAsia="Calibri" w:hAnsi="Calibri"/>
          <w:sz w:val="22"/>
          <w:szCs w:val="22"/>
        </w:rPr>
        <w:t xml:space="preserve">Communication ouverte sur la finalite : outil d'aide, pas de surveillance individuelle.</w:t>
      </w:r>
    </w:p>
    <w:p>
      <w:pPr>
        <w:pStyle w:val="ListParagraph"/>
        <w:numPr>
          <w:ilvl w:val="0"/>
          <w:numId w:val="2"/>
        </w:numPr>
        <w:spacing w:after="80" w:line="280"/>
      </w:pPr>
      <w:r>
        <w:rPr>
          <w:rFonts w:ascii="Calibri" w:cs="Calibri" w:eastAsia="Calibri" w:hAnsi="Calibri"/>
          <w:sz w:val="22"/>
          <w:szCs w:val="22"/>
        </w:rPr>
        <w:t xml:space="preserve">Co-construction : ateliers avec les operateurs pour calibrer les seuils et alertes.</w:t>
      </w:r>
    </w:p>
    <w:p>
      <w:pPr>
        <w:pStyle w:val="ListParagraph"/>
        <w:numPr>
          <w:ilvl w:val="0"/>
          <w:numId w:val="2"/>
        </w:numPr>
        <w:spacing w:after="80" w:line="280"/>
      </w:pPr>
      <w:r>
        <w:rPr>
          <w:rFonts w:ascii="Calibri" w:cs="Calibri" w:eastAsia="Calibri" w:hAnsi="Calibri"/>
          <w:sz w:val="22"/>
          <w:szCs w:val="22"/>
        </w:rPr>
        <w:t xml:space="preserve">Formation progressive : session d'introduction collective puis accompagnement par site.</w:t>
      </w:r>
    </w:p>
    <w:p>
      <w:pPr>
        <w:pStyle w:val="ListParagraph"/>
        <w:numPr>
          <w:ilvl w:val="0"/>
          <w:numId w:val="2"/>
        </w:numPr>
        <w:spacing w:after="80" w:line="280"/>
      </w:pPr>
      <w:r>
        <w:rPr>
          <w:rFonts w:ascii="Calibri" w:cs="Calibri" w:eastAsia="Calibri" w:hAnsi="Calibri"/>
          <w:sz w:val="22"/>
          <w:szCs w:val="22"/>
        </w:rPr>
        <w:t xml:space="preserve">Champions locaux : identifier un ambassadeur par usine pour relayer et soutenir l'adoption.</w:t>
      </w:r>
    </w:p>
    <w:p>
      <w:pPr>
        <w:pStyle w:val="ListParagraph"/>
        <w:numPr>
          <w:ilvl w:val="0"/>
          <w:numId w:val="2"/>
        </w:numPr>
        <w:spacing w:after="80" w:line="280"/>
      </w:pPr>
      <w:r>
        <w:rPr>
          <w:rFonts w:ascii="Calibri" w:cs="Calibri" w:eastAsia="Calibri" w:hAnsi="Calibri"/>
          <w:sz w:val="22"/>
          <w:szCs w:val="22"/>
        </w:rPr>
        <w:t xml:space="preserve">Feedback continu : enquete de satisfaction trimestrielle, ajustements rapides.</w:t>
      </w:r>
    </w:p>
    <w:p>
      <w:pPr>
        <w:pStyle w:val="Heading2"/>
        <w:spacing w:after="160" w:before="300"/>
      </w:pPr>
      <w:r>
        <w:rPr>
          <w:rFonts w:ascii="Calibri" w:cs="Calibri" w:eastAsia="Calibri" w:hAnsi="Calibri"/>
          <w:b/>
          <w:bCs/>
          <w:color w:val="2E75B6"/>
          <w:sz w:val="26"/>
          <w:szCs w:val="26"/>
        </w:rPr>
        <w:t xml:space="preserve">4.3. Governance cible</w:t>
      </w:r>
    </w:p>
    <w:p>
      <w:pPr>
        <w:spacing w:after="120" w:line="300"/>
        <w:jc w:val="both"/>
      </w:pPr>
      <w:r>
        <w:rPr>
          <w:rFonts w:ascii="Calibri" w:cs="Calibri" w:eastAsia="Calibri" w:hAnsi="Calibri"/>
          <w:sz w:val="22"/>
          <w:szCs w:val="22"/>
        </w:rPr>
        <w:t xml:space="preserve">Proposition de gouvernance en phase de production :</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5360"/>
      </w:tblGrid>
      <w:tr>
        <w:trPr>
          <w:tblHeader/>
        </w:trPr>
        <w:tc>
          <w:tcPr>
            <w:tcW w:type="dxa" w:w="2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Instance</w:t>
            </w:r>
          </w:p>
        </w:tc>
        <w:tc>
          <w:tcPr>
            <w:tcW w:type="dxa" w:w="1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Frequence</w:t>
            </w:r>
          </w:p>
        </w:tc>
        <w:tc>
          <w:tcPr>
            <w:tcW w:type="dxa" w:w="53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Role</w:t>
            </w:r>
          </w:p>
        </w:tc>
      </w:tr>
      <w:tr>
        <w:tc>
          <w:tcPr>
            <w:tcW w:type="dxa" w:w="2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Comite strategique data</w:t>
            </w:r>
          </w:p>
        </w:tc>
        <w:tc>
          <w:tcPr>
            <w:tcW w:type="dxa" w:w="1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Trimestriel</w:t>
            </w:r>
          </w:p>
        </w:tc>
        <w:tc>
          <w:tcPr>
            <w:tcW w:type="dxa" w:w="53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Arbitrages budget, roadmap, risques majeurs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Comite operationnel data</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Mensuel</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Pilotage operationnel, arbitrages techniques</w:t>
            </w:r>
          </w:p>
        </w:tc>
      </w:tr>
      <w:tr>
        <w:tc>
          <w:tcPr>
            <w:tcW w:type="dxa" w:w="2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Cellule utilisateurs</w:t>
            </w:r>
          </w:p>
        </w:tc>
        <w:tc>
          <w:tcPr>
            <w:tcW w:type="dxa" w:w="1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Bi-mensuel</w:t>
            </w:r>
          </w:p>
        </w:tc>
        <w:tc>
          <w:tcPr>
            <w:tcW w:type="dxa" w:w="53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Retours utilisateurs, calibration alertes, feedback</w:t>
            </w:r>
          </w:p>
        </w:tc>
      </w:tr>
    </w:tbl>
    <w:p>
      <w:pPr>
        <w:spacing w:after="200"/>
      </w:pPr>
      <w:r>
        <w:t xml:space="preserve"/>
      </w:r>
    </w:p>
    <w:p>
      <w:pPr>
        <w:pStyle w:val="Heading1"/>
        <w:pageBreakBefore/>
        <w:spacing w:after="240" w:before="360"/>
      </w:pPr>
      <w:r>
        <w:rPr>
          <w:rFonts w:ascii="Calibri" w:cs="Calibri" w:eastAsia="Calibri" w:hAnsi="Calibri"/>
          <w:b/>
          <w:bCs/>
          <w:color w:val="1F3A5F"/>
          <w:sz w:val="32"/>
          <w:szCs w:val="32"/>
        </w:rPr>
        <w:t xml:space="preserve">5. Faisabilite economique et ROI</w:t>
      </w:r>
    </w:p>
    <w:p>
      <w:pPr>
        <w:pStyle w:val="Heading2"/>
        <w:spacing w:after="160" w:before="300"/>
      </w:pPr>
      <w:r>
        <w:rPr>
          <w:rFonts w:ascii="Calibri" w:cs="Calibri" w:eastAsia="Calibri" w:hAnsi="Calibri"/>
          <w:b/>
          <w:bCs/>
          <w:color w:val="2E75B6"/>
          <w:sz w:val="26"/>
          <w:szCs w:val="26"/>
        </w:rPr>
        <w:t xml:space="preserve">5.1. Investissement cumule estime</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4160"/>
      </w:tblGrid>
      <w:tr>
        <w:trPr>
          <w:tblHeader/>
        </w:trPr>
        <w:tc>
          <w:tcPr>
            <w:tcW w:type="dxa" w:w="3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Phase</w:t>
            </w:r>
          </w:p>
        </w:tc>
        <w:tc>
          <w:tcPr>
            <w:tcW w:type="dxa" w:w="2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Duree</w:t>
            </w:r>
          </w:p>
        </w:tc>
        <w:tc>
          <w:tcPr>
            <w:tcW w:type="dxa" w:w="41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Investissement</w:t>
            </w:r>
          </w:p>
        </w:tc>
      </w:tr>
      <w:tr>
        <w:tc>
          <w:tcPr>
            <w:tcW w:type="dxa" w:w="3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PoC (livre)</w:t>
            </w:r>
          </w:p>
        </w:tc>
        <w:tc>
          <w:tcPr>
            <w:tcW w:type="dxa" w:w="2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3 mois</w:t>
            </w:r>
          </w:p>
        </w:tc>
        <w:tc>
          <w:tcPr>
            <w:tcW w:type="dxa" w:w="41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Realise dans le cadre academique</w:t>
            </w:r>
          </w:p>
        </w:tc>
      </w:tr>
      <w:tr>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Pilote</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6 mois</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100 a 165 k EUR</w:t>
            </w:r>
          </w:p>
        </w:tc>
      </w:tr>
      <w:tr>
        <w:tc>
          <w:tcPr>
            <w:tcW w:type="dxa" w:w="3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Generalisation</w:t>
            </w:r>
          </w:p>
        </w:tc>
        <w:tc>
          <w:tcPr>
            <w:tcW w:type="dxa" w:w="2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9 mois</w:t>
            </w:r>
          </w:p>
        </w:tc>
        <w:tc>
          <w:tcPr>
            <w:tcW w:type="dxa" w:w="41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150 a 250 k EUR</w:t>
            </w:r>
          </w:p>
        </w:tc>
      </w:tr>
      <w:tr>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Exploitation (par an)</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Recurrent</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50 a 80 k EUR / an</w:t>
            </w:r>
          </w:p>
        </w:tc>
      </w:tr>
      <w:tr>
        <w:tc>
          <w:tcPr>
            <w:tcW w:type="dxa" w:w="3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TOTAL investissement initial</w:t>
            </w:r>
          </w:p>
        </w:tc>
        <w:tc>
          <w:tcPr>
            <w:tcW w:type="dxa" w:w="2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18 mois</w:t>
            </w:r>
          </w:p>
        </w:tc>
        <w:tc>
          <w:tcPr>
            <w:tcW w:type="dxa" w:w="41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250 a 400 k EUR</w:t>
            </w:r>
          </w:p>
        </w:tc>
      </w:tr>
    </w:tbl>
    <w:p>
      <w:pPr>
        <w:spacing w:after="200"/>
      </w:pPr>
      <w:r>
        <w:t xml:space="preserve"/>
      </w:r>
    </w:p>
    <w:p>
      <w:pPr>
        <w:pStyle w:val="Heading2"/>
        <w:spacing w:after="160" w:before="300"/>
      </w:pPr>
      <w:r>
        <w:rPr>
          <w:rFonts w:ascii="Calibri" w:cs="Calibri" w:eastAsia="Calibri" w:hAnsi="Calibri"/>
          <w:b/>
          <w:bCs/>
          <w:color w:val="2E75B6"/>
          <w:sz w:val="26"/>
          <w:szCs w:val="26"/>
        </w:rPr>
        <w:t xml:space="preserve">5.2. Gains annuels estimes</w:t>
      </w:r>
    </w:p>
    <w:p>
      <w:pPr>
        <w:spacing w:after="120" w:line="300"/>
        <w:jc w:val="both"/>
      </w:pPr>
      <w:r>
        <w:rPr>
          <w:rFonts w:ascii="Calibri" w:cs="Calibri" w:eastAsia="Calibri" w:hAnsi="Calibri"/>
          <w:sz w:val="22"/>
          <w:szCs w:val="22"/>
        </w:rPr>
        <w:t xml:space="preserve">Sur la base d'hypotheses conservatrices et de retours d'experience industriels comparables :</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3460"/>
      </w:tblGrid>
      <w:tr>
        <w:trPr>
          <w:tblHeader/>
        </w:trPr>
        <w:tc>
          <w:tcPr>
            <w:tcW w:type="dxa" w:w="35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Source de gain</w:t>
            </w:r>
          </w:p>
        </w:tc>
        <w:tc>
          <w:tcPr>
            <w:tcW w:type="dxa" w:w="3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Estimation conservatrice</w:t>
            </w:r>
          </w:p>
        </w:tc>
        <w:tc>
          <w:tcPr>
            <w:tcW w:type="dxa" w:w="34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Estimation optimiste</w:t>
            </w:r>
          </w:p>
        </w:tc>
      </w:tr>
      <w:tr>
        <w:tc>
          <w:tcPr>
            <w:tcW w:type="dxa" w:w="35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Reduction des arrets non planifies</w:t>
            </w:r>
          </w:p>
        </w:tc>
        <w:tc>
          <w:tcPr>
            <w:tcW w:type="dxa" w:w="3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300 k EUR / an</w:t>
            </w:r>
          </w:p>
        </w:tc>
        <w:tc>
          <w:tcPr>
            <w:tcW w:type="dxa" w:w="34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500 k EUR / an</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Reduction du taux de rebut</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200 k EUR / an</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400 k EUR / an</w:t>
            </w:r>
          </w:p>
        </w:tc>
      </w:tr>
      <w:tr>
        <w:tc>
          <w:tcPr>
            <w:tcW w:type="dxa" w:w="35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Reduction des couts energie</w:t>
            </w:r>
          </w:p>
        </w:tc>
        <w:tc>
          <w:tcPr>
            <w:tcW w:type="dxa" w:w="3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100 k EUR / an</w:t>
            </w:r>
          </w:p>
        </w:tc>
        <w:tc>
          <w:tcPr>
            <w:tcW w:type="dxa" w:w="34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200 k EUR / an</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Gain productivite (maintenance proactive)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150 k EUR / an</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200 k EUR / an</w:t>
            </w:r>
          </w:p>
        </w:tc>
      </w:tr>
      <w:tr>
        <w:tc>
          <w:tcPr>
            <w:tcW w:type="dxa" w:w="35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TOTAL gains annuels recurrents</w:t>
            </w:r>
          </w:p>
        </w:tc>
        <w:tc>
          <w:tcPr>
            <w:tcW w:type="dxa" w:w="3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750 k EUR / an</w:t>
            </w:r>
          </w:p>
        </w:tc>
        <w:tc>
          <w:tcPr>
            <w:tcW w:type="dxa" w:w="34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1 300 k EUR / an</w:t>
            </w:r>
          </w:p>
        </w:tc>
      </w:tr>
    </w:tbl>
    <w:p>
      <w:pPr>
        <w:spacing w:after="200"/>
      </w:pPr>
      <w:r>
        <w:t xml:space="preserve"/>
      </w:r>
    </w:p>
    <w:p>
      <w:pPr>
        <w:pStyle w:val="Heading2"/>
        <w:spacing w:after="160" w:before="300"/>
      </w:pPr>
      <w:r>
        <w:rPr>
          <w:rFonts w:ascii="Calibri" w:cs="Calibri" w:eastAsia="Calibri" w:hAnsi="Calibri"/>
          <w:b/>
          <w:bCs/>
          <w:color w:val="2E75B6"/>
          <w:sz w:val="26"/>
          <w:szCs w:val="26"/>
        </w:rPr>
        <w:t xml:space="preserve">5.3. Retour sur investissement</w:t>
      </w:r>
    </w:p>
    <w:p>
      <w:pPr>
        <w:spacing w:after="120" w:line="300"/>
        <w:jc w:val="both"/>
      </w:pPr>
      <w:r>
        <w:rPr>
          <w:rFonts w:ascii="Calibri" w:cs="Calibri" w:eastAsia="Calibri" w:hAnsi="Calibri"/>
          <w:sz w:val="22"/>
          <w:szCs w:val="22"/>
        </w:rPr>
        <w:t xml:space="preserve">Sur la base des chiffres ci-dessus :</w:t>
      </w:r>
    </w:p>
    <w:p>
      <w:pPr>
        <w:pStyle w:val="ListParagraph"/>
        <w:numPr>
          <w:ilvl w:val="0"/>
          <w:numId w:val="2"/>
        </w:numPr>
        <w:spacing w:after="80" w:line="280"/>
      </w:pPr>
      <w:r>
        <w:rPr>
          <w:rFonts w:ascii="Calibri" w:cs="Calibri" w:eastAsia="Calibri" w:hAnsi="Calibri"/>
          <w:sz w:val="22"/>
          <w:szCs w:val="22"/>
        </w:rPr>
        <w:t xml:space="preserve">Scenario conservateur : 750 k EUR/an de gains pour 400 k EUR d'investissement, ROI en 6 a 8 mois.</w:t>
      </w:r>
    </w:p>
    <w:p>
      <w:pPr>
        <w:pStyle w:val="ListParagraph"/>
        <w:numPr>
          <w:ilvl w:val="0"/>
          <w:numId w:val="2"/>
        </w:numPr>
        <w:spacing w:after="80" w:line="280"/>
      </w:pPr>
      <w:r>
        <w:rPr>
          <w:rFonts w:ascii="Calibri" w:cs="Calibri" w:eastAsia="Calibri" w:hAnsi="Calibri"/>
          <w:sz w:val="22"/>
          <w:szCs w:val="22"/>
        </w:rPr>
        <w:t xml:space="preserve">Scenario median : 1 000 k EUR/an de gains pour 325 k EUR d'investissement, ROI en 4 mois.</w:t>
      </w:r>
    </w:p>
    <w:p>
      <w:pPr>
        <w:pStyle w:val="ListParagraph"/>
        <w:numPr>
          <w:ilvl w:val="0"/>
          <w:numId w:val="2"/>
        </w:numPr>
        <w:spacing w:after="80" w:line="280"/>
      </w:pPr>
      <w:r>
        <w:rPr>
          <w:rFonts w:ascii="Calibri" w:cs="Calibri" w:eastAsia="Calibri" w:hAnsi="Calibri"/>
          <w:sz w:val="22"/>
          <w:szCs w:val="22"/>
        </w:rPr>
        <w:t xml:space="preserve">Scenario optimiste : 1 300 k EUR/an de gains pour 250 k EUR d'investissement, ROI en 2-3 mois.</w:t>
      </w:r>
    </w:p>
    <w:p>
      <w:pPr>
        <w:spacing w:after="120" w:line="300"/>
        <w:jc w:val="both"/>
      </w:pPr>
      <w:r>
        <w:rPr>
          <w:rFonts w:ascii="Calibri" w:cs="Calibri" w:eastAsia="Calibri" w:hAnsi="Calibri"/>
          <w:sz w:val="22"/>
          <w:szCs w:val="22"/>
        </w:rPr>
        <w:t xml:space="preserve">Dans les trois scenarios, le projet se rembourse en moins d'un an d'exploitation, ce qui le positionne dans la categorie des investissements strategiques a haute valeur ajoutee.</w:t>
      </w:r>
    </w:p>
    <w:p>
      <w:pPr>
        <w:pStyle w:val="Heading2"/>
        <w:spacing w:after="160" w:before="300"/>
      </w:pPr>
      <w:r>
        <w:rPr>
          <w:rFonts w:ascii="Calibri" w:cs="Calibri" w:eastAsia="Calibri" w:hAnsi="Calibri"/>
          <w:b/>
          <w:bCs/>
          <w:color w:val="2E75B6"/>
          <w:sz w:val="26"/>
          <w:szCs w:val="26"/>
        </w:rPr>
        <w:t xml:space="preserve">5.4. Benefices non monetaires</w:t>
      </w:r>
    </w:p>
    <w:p>
      <w:pPr>
        <w:spacing w:after="120" w:line="300"/>
        <w:jc w:val="both"/>
      </w:pPr>
      <w:r>
        <w:rPr>
          <w:rFonts w:ascii="Calibri" w:cs="Calibri" w:eastAsia="Calibri" w:hAnsi="Calibri"/>
          <w:sz w:val="22"/>
          <w:szCs w:val="22"/>
        </w:rPr>
        <w:t xml:space="preserve">Au-dela des gains quantifiables, le projet apporte des benefices strategiques :</w:t>
      </w:r>
    </w:p>
    <w:p>
      <w:pPr>
        <w:pStyle w:val="ListParagraph"/>
        <w:numPr>
          <w:ilvl w:val="0"/>
          <w:numId w:val="2"/>
        </w:numPr>
        <w:spacing w:after="80" w:line="280"/>
      </w:pPr>
      <w:r>
        <w:rPr>
          <w:rFonts w:ascii="Calibri" w:cs="Calibri" w:eastAsia="Calibri" w:hAnsi="Calibri"/>
          <w:sz w:val="22"/>
          <w:szCs w:val="22"/>
        </w:rPr>
        <w:t xml:space="preserve">Montee en competences des equipes internes sur les pratiques modernes de data et d'IA.</w:t>
      </w:r>
    </w:p>
    <w:p>
      <w:pPr>
        <w:pStyle w:val="ListParagraph"/>
        <w:numPr>
          <w:ilvl w:val="0"/>
          <w:numId w:val="2"/>
        </w:numPr>
        <w:spacing w:after="80" w:line="280"/>
      </w:pPr>
      <w:r>
        <w:rPr>
          <w:rFonts w:ascii="Calibri" w:cs="Calibri" w:eastAsia="Calibri" w:hAnsi="Calibri"/>
          <w:sz w:val="22"/>
          <w:szCs w:val="22"/>
        </w:rPr>
        <w:t xml:space="preserve">Actif technologique reutilisable pour d'autres cas d'usage (optimisation ordonnancement, prevision de demande, controle qualite automatise).</w:t>
      </w:r>
    </w:p>
    <w:p>
      <w:pPr>
        <w:pStyle w:val="ListParagraph"/>
        <w:numPr>
          <w:ilvl w:val="0"/>
          <w:numId w:val="2"/>
        </w:numPr>
        <w:spacing w:after="80" w:line="280"/>
      </w:pPr>
      <w:r>
        <w:rPr>
          <w:rFonts w:ascii="Calibri" w:cs="Calibri" w:eastAsia="Calibri" w:hAnsi="Calibri"/>
          <w:sz w:val="22"/>
          <w:szCs w:val="22"/>
        </w:rPr>
        <w:t xml:space="preserve">Avantage concurrentiel : positionnement de MECHA comme acteur industriel a la pointe technologique.</w:t>
      </w:r>
    </w:p>
    <w:p>
      <w:pPr>
        <w:pStyle w:val="ListParagraph"/>
        <w:numPr>
          <w:ilvl w:val="0"/>
          <w:numId w:val="2"/>
        </w:numPr>
        <w:spacing w:after="80" w:line="280"/>
      </w:pPr>
      <w:r>
        <w:rPr>
          <w:rFonts w:ascii="Calibri" w:cs="Calibri" w:eastAsia="Calibri" w:hAnsi="Calibri"/>
          <w:sz w:val="22"/>
          <w:szCs w:val="22"/>
        </w:rPr>
        <w:t xml:space="preserve">Amelioration de l'attractivite pour les clients aeronautiques et automobiles exigeants.</w:t>
      </w:r>
    </w:p>
    <w:p>
      <w:pPr>
        <w:pStyle w:val="ListParagraph"/>
        <w:numPr>
          <w:ilvl w:val="0"/>
          <w:numId w:val="2"/>
        </w:numPr>
        <w:spacing w:after="80" w:line="280"/>
      </w:pPr>
      <w:r>
        <w:rPr>
          <w:rFonts w:ascii="Calibri" w:cs="Calibri" w:eastAsia="Calibri" w:hAnsi="Calibri"/>
          <w:sz w:val="22"/>
          <w:szCs w:val="22"/>
        </w:rPr>
        <w:t xml:space="preserve">Facilitation des audits qualite (EN 9100, ISO 9001) par la tracabilite renforcee.</w:t>
      </w:r>
    </w:p>
    <w:p>
      <w:pPr>
        <w:pStyle w:val="ListParagraph"/>
        <w:numPr>
          <w:ilvl w:val="0"/>
          <w:numId w:val="2"/>
        </w:numPr>
        <w:spacing w:after="80" w:line="280"/>
      </w:pPr>
      <w:r>
        <w:rPr>
          <w:rFonts w:ascii="Calibri" w:cs="Calibri" w:eastAsia="Calibri" w:hAnsi="Calibri"/>
          <w:sz w:val="22"/>
          <w:szCs w:val="22"/>
        </w:rPr>
        <w:t xml:space="preserve">Amelioration de la satisfaction et de la retention des collaborateurs (outils modernes).</w:t>
      </w:r>
    </w:p>
    <w:p>
      <w:pPr>
        <w:pStyle w:val="Heading1"/>
        <w:pageBreakBefore/>
        <w:spacing w:after="240" w:before="360"/>
      </w:pPr>
      <w:r>
        <w:rPr>
          <w:rFonts w:ascii="Calibri" w:cs="Calibri" w:eastAsia="Calibri" w:hAnsi="Calibri"/>
          <w:b/>
          <w:bCs/>
          <w:color w:val="1F3A5F"/>
          <w:sz w:val="32"/>
          <w:szCs w:val="32"/>
        </w:rPr>
        <w:t xml:space="preserve">6. Feuille de route proposee</w:t>
      </w:r>
    </w:p>
    <w:p>
      <w:pPr>
        <w:pStyle w:val="Heading2"/>
        <w:spacing w:after="160" w:before="300"/>
      </w:pPr>
      <w:r>
        <w:rPr>
          <w:rFonts w:ascii="Calibri" w:cs="Calibri" w:eastAsia="Calibri" w:hAnsi="Calibri"/>
          <w:b/>
          <w:bCs/>
          <w:color w:val="2E75B6"/>
          <w:sz w:val="26"/>
          <w:szCs w:val="26"/>
        </w:rPr>
        <w:t xml:space="preserve">6.1. Phases d'industrialisation</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3000"/>
        <w:gridCol w:w="3260"/>
      </w:tblGrid>
      <w:tr>
        <w:trPr>
          <w:tblHeader/>
        </w:trPr>
        <w:tc>
          <w:tcPr>
            <w:tcW w:type="dxa" w:w="2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Phase</w:t>
            </w:r>
          </w:p>
        </w:tc>
        <w:tc>
          <w:tcPr>
            <w:tcW w:type="dxa" w:w="15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Duree</w:t>
            </w:r>
          </w:p>
        </w:tc>
        <w:tc>
          <w:tcPr>
            <w:tcW w:type="dxa" w:w="3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Objectifs</w:t>
            </w:r>
          </w:p>
        </w:tc>
        <w:tc>
          <w:tcPr>
            <w:tcW w:type="dxa" w:w="32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Livrables</w:t>
            </w:r>
          </w:p>
        </w:tc>
      </w:tr>
      <w:tr>
        <w:tc>
          <w:tcPr>
            <w:tcW w:type="dxa" w:w="22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Phase 1 - PoC</w:t>
            </w:r>
          </w:p>
        </w:tc>
        <w:tc>
          <w:tcPr>
            <w:tcW w:type="dxa" w:w="15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Terminee</w:t>
            </w:r>
          </w:p>
        </w:tc>
        <w:tc>
          <w:tcPr>
            <w:tcW w:type="dxa" w:w="3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Demontrer la faisabilite sur 2 usines simulees</w:t>
            </w:r>
          </w:p>
        </w:tc>
        <w:tc>
          <w:tcPr>
            <w:tcW w:type="dxa" w:w="32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Notebooks, dashboard, livrables MSPR</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Phase 2 - Pilote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6 mois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Deploiement en conditions reelles sur FR-01 et ES-01</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Plateforme en production, modeles reentraine sur donnees reelles, formation equipes</w:t>
            </w:r>
          </w:p>
        </w:tc>
      </w:tr>
      <w:tr>
        <w:tc>
          <w:tcPr>
            <w:tcW w:type="dxa" w:w="22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Phase 3 - Generalisation</w:t>
            </w:r>
          </w:p>
        </w:tc>
        <w:tc>
          <w:tcPr>
            <w:tcW w:type="dxa" w:w="15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9 mois</w:t>
            </w:r>
          </w:p>
        </w:tc>
        <w:tc>
          <w:tcPr>
            <w:tcW w:type="dxa" w:w="3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Extension aux 3 sites restants</w:t>
            </w:r>
          </w:p>
        </w:tc>
        <w:tc>
          <w:tcPr>
            <w:tcW w:type="dxa" w:w="32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Plateforme multi-sites, gouvernance data groupe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Phase 4 - Optimisation</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Continue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Nouveaux cas d'usage, optimisation fine</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Modeles specialises, integrations avancees</w:t>
            </w:r>
          </w:p>
        </w:tc>
      </w:tr>
    </w:tbl>
    <w:p>
      <w:pPr>
        <w:spacing w:after="200"/>
      </w:pPr>
      <w:r>
        <w:t xml:space="preserve"/>
      </w:r>
    </w:p>
    <w:p>
      <w:pPr>
        <w:pStyle w:val="Heading2"/>
        <w:spacing w:after="160" w:before="300"/>
      </w:pPr>
      <w:r>
        <w:rPr>
          <w:rFonts w:ascii="Calibri" w:cs="Calibri" w:eastAsia="Calibri" w:hAnsi="Calibri"/>
          <w:b/>
          <w:bCs/>
          <w:color w:val="2E75B6"/>
          <w:sz w:val="26"/>
          <w:szCs w:val="26"/>
        </w:rPr>
        <w:t xml:space="preserve">6.2. Jalons cles de la phase pilote</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500"/>
        <w:gridCol w:w="8460"/>
      </w:tblGrid>
      <w:tr>
        <w:trPr>
          <w:tblHeader/>
        </w:trPr>
        <w:tc>
          <w:tcPr>
            <w:tcW w:type="dxa" w:w="15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Mois</w:t>
            </w:r>
          </w:p>
        </w:tc>
        <w:tc>
          <w:tcPr>
            <w:tcW w:type="dxa" w:w="84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Jalon</w:t>
            </w:r>
          </w:p>
        </w:tc>
      </w:tr>
      <w:tr>
        <w:tc>
          <w:tcPr>
            <w:tcW w:type="dxa" w:w="15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M1</w:t>
            </w:r>
          </w:p>
        </w:tc>
        <w:tc>
          <w:tcPr>
            <w:tcW w:type="dxa" w:w="84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Recrutement du data engineer, kickoff pilote</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M2</w:t>
            </w:r>
          </w:p>
        </w:tc>
        <w:tc>
          <w:tcPr>
            <w:tcW w:type="dxa" w:w="8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Mise en place des connecteurs SCADA/MES sur FR-01</w:t>
            </w:r>
          </w:p>
        </w:tc>
      </w:tr>
      <w:tr>
        <w:tc>
          <w:tcPr>
            <w:tcW w:type="dxa" w:w="15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M3</w:t>
            </w:r>
          </w:p>
        </w:tc>
        <w:tc>
          <w:tcPr>
            <w:tcW w:type="dxa" w:w="84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Ingestion temps reel operationnelle sur FR-01</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M4</w:t>
            </w:r>
          </w:p>
        </w:tc>
        <w:tc>
          <w:tcPr>
            <w:tcW w:type="dxa" w:w="8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Dashboard deploye et accessible aux utilisateurs FR-01</w:t>
            </w:r>
          </w:p>
        </w:tc>
      </w:tr>
      <w:tr>
        <w:tc>
          <w:tcPr>
            <w:tcW w:type="dxa" w:w="15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M5</w:t>
            </w:r>
          </w:p>
        </w:tc>
        <w:tc>
          <w:tcPr>
            <w:tcW w:type="dxa" w:w="84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Reentrainement du modele ML sur donnees reelles FR-01</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M6</w:t>
            </w:r>
          </w:p>
        </w:tc>
        <w:tc>
          <w:tcPr>
            <w:tcW w:type="dxa" w:w="8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rFonts w:ascii="Calibri" w:cs="Calibri" w:eastAsia="Calibri" w:hAnsi="Calibri"/>
                <w:sz w:val="20"/>
                <w:szCs w:val="20"/>
              </w:rPr>
              <w:t xml:space="preserve">Deploiement complet FR-01 + ES-01, bilan phase pilote, decision Go/NoGo phase 3</w:t>
            </w:r>
          </w:p>
        </w:tc>
      </w:tr>
    </w:tbl>
    <w:p>
      <w:pPr>
        <w:spacing w:after="200"/>
      </w:pPr>
      <w:r>
        <w:t xml:space="preserve"/>
      </w:r>
    </w:p>
    <w:p>
      <w:pPr>
        <w:pStyle w:val="Heading2"/>
        <w:spacing w:after="160" w:before="300"/>
      </w:pPr>
      <w:r>
        <w:rPr>
          <w:rFonts w:ascii="Calibri" w:cs="Calibri" w:eastAsia="Calibri" w:hAnsi="Calibri"/>
          <w:b/>
          <w:bCs/>
          <w:color w:val="2E75B6"/>
          <w:sz w:val="26"/>
          <w:szCs w:val="26"/>
        </w:rPr>
        <w:t xml:space="preserve">6.3. Points de controle et arbitrages</w:t>
      </w:r>
    </w:p>
    <w:p>
      <w:pPr>
        <w:spacing w:after="120" w:line="300"/>
        <w:jc w:val="both"/>
      </w:pPr>
      <w:r>
        <w:rPr>
          <w:rFonts w:ascii="Calibri" w:cs="Calibri" w:eastAsia="Calibri" w:hAnsi="Calibri"/>
          <w:sz w:val="22"/>
          <w:szCs w:val="22"/>
        </w:rPr>
        <w:t xml:space="preserve">Des points de decision formels sont prevus a chaque fin de phase pour permettre a la Direction de reorienter le projet si necessaire :</w:t>
      </w:r>
    </w:p>
    <w:p>
      <w:pPr>
        <w:pStyle w:val="ListParagraph"/>
        <w:numPr>
          <w:ilvl w:val="0"/>
          <w:numId w:val="2"/>
        </w:numPr>
        <w:spacing w:after="80" w:line="280"/>
      </w:pPr>
      <w:r>
        <w:rPr>
          <w:rFonts w:ascii="Calibri" w:cs="Calibri" w:eastAsia="Calibri" w:hAnsi="Calibri"/>
          <w:sz w:val="22"/>
          <w:szCs w:val="22"/>
        </w:rPr>
        <w:t xml:space="preserve">Fin de phase pilote (M6) : go/no-go generalisation, budget phase 3.</w:t>
      </w:r>
    </w:p>
    <w:p>
      <w:pPr>
        <w:pStyle w:val="ListParagraph"/>
        <w:numPr>
          <w:ilvl w:val="0"/>
          <w:numId w:val="2"/>
        </w:numPr>
        <w:spacing w:after="80" w:line="280"/>
      </w:pPr>
      <w:r>
        <w:rPr>
          <w:rFonts w:ascii="Calibri" w:cs="Calibri" w:eastAsia="Calibri" w:hAnsi="Calibri"/>
          <w:sz w:val="22"/>
          <w:szCs w:val="22"/>
        </w:rPr>
        <w:t xml:space="preserve">Fin de phase generalisation (M15) : bilan economique, ajustement strategique.</w:t>
      </w:r>
    </w:p>
    <w:p>
      <w:pPr>
        <w:pStyle w:val="ListParagraph"/>
        <w:numPr>
          <w:ilvl w:val="0"/>
          <w:numId w:val="2"/>
        </w:numPr>
        <w:spacing w:after="80" w:line="280"/>
      </w:pPr>
      <w:r>
        <w:rPr>
          <w:rFonts w:ascii="Calibri" w:cs="Calibri" w:eastAsia="Calibri" w:hAnsi="Calibri"/>
          <w:sz w:val="22"/>
          <w:szCs w:val="22"/>
        </w:rPr>
        <w:t xml:space="preserve">Revues trimestrielles : suivi ROI, risques, satisfaction utilisateurs.</w:t>
      </w:r>
    </w:p>
    <w:p>
      <w:pPr>
        <w:pStyle w:val="Heading1"/>
        <w:pageBreakBefore/>
        <w:spacing w:after="240" w:before="360"/>
      </w:pPr>
      <w:r>
        <w:rPr>
          <w:rFonts w:ascii="Calibri" w:cs="Calibri" w:eastAsia="Calibri" w:hAnsi="Calibri"/>
          <w:b/>
          <w:bCs/>
          <w:color w:val="1F3A5F"/>
          <w:sz w:val="32"/>
          <w:szCs w:val="32"/>
        </w:rPr>
        <w:t xml:space="preserve">7. Conclusion et demande de validation</w:t>
      </w:r>
    </w:p>
    <w:p>
      <w:pPr>
        <w:pStyle w:val="Heading2"/>
        <w:spacing w:after="160" w:before="300"/>
      </w:pPr>
      <w:r>
        <w:rPr>
          <w:rFonts w:ascii="Calibri" w:cs="Calibri" w:eastAsia="Calibri" w:hAnsi="Calibri"/>
          <w:b/>
          <w:bCs/>
          <w:color w:val="2E75B6"/>
          <w:sz w:val="26"/>
          <w:szCs w:val="26"/>
        </w:rPr>
        <w:t xml:space="preserve">7.1. Synthese</w:t>
      </w:r>
    </w:p>
    <w:p>
      <w:pPr>
        <w:spacing w:after="120" w:line="300"/>
        <w:jc w:val="both"/>
      </w:pPr>
      <w:r>
        <w:rPr>
          <w:rFonts w:ascii="Calibri" w:cs="Calibri" w:eastAsia="Calibri" w:hAnsi="Calibri"/>
          <w:sz w:val="22"/>
          <w:szCs w:val="22"/>
        </w:rPr>
        <w:t xml:space="preserve">Le Proof of Concept MECHA, realise sur le perimetre des usines FR-01 et ES-01, a demontre de maniere concluante la faisabilite technique, metier, organisationnelle et economique d'une plateforme de pilotage industriel integrant des capacites d'intelligence artificielle.</w:t>
      </w:r>
    </w:p>
    <w:p>
      <w:pPr>
        <w:spacing w:after="120" w:line="300"/>
        <w:jc w:val="both"/>
      </w:pPr>
      <w:r>
        <w:rPr>
          <w:rFonts w:ascii="Calibri" w:cs="Calibri" w:eastAsia="Calibri" w:hAnsi="Calibri"/>
          <w:sz w:val="22"/>
          <w:szCs w:val="22"/>
        </w:rPr>
        <w:t xml:space="preserve">Les performances atteintes (PR-AUC de 0,705, 100 % de completude des donnees, couverture complete des 9 competences MSPR) depassent les seuils requis et valident la solidite des choix technologiques et methodologiques. L'architecture proposee est mature, scalable et reproductible.</w:t>
      </w:r>
    </w:p>
    <w:p>
      <w:pPr>
        <w:spacing w:after="120" w:line="300"/>
        <w:jc w:val="both"/>
      </w:pPr>
      <w:r>
        <w:rPr>
          <w:rFonts w:ascii="Calibri" w:cs="Calibri" w:eastAsia="Calibri" w:hAnsi="Calibri"/>
          <w:sz w:val="22"/>
          <w:szCs w:val="22"/>
        </w:rPr>
        <w:t xml:space="preserve">Le retour sur investissement projete (4 a 8 mois selon les scenarios) et les benefices strategiques (positionnement concurrentiel, montee en competences, tracabilite renforcee) positionnent ce projet parmi les investissements a plus forte valeur ajoutee du plan de transformation.</w:t>
      </w:r>
    </w:p>
    <w:p>
      <w:pPr>
        <w:pStyle w:val="Heading2"/>
        <w:spacing w:after="160" w:before="300"/>
      </w:pPr>
      <w:r>
        <w:rPr>
          <w:rFonts w:ascii="Calibri" w:cs="Calibri" w:eastAsia="Calibri" w:hAnsi="Calibri"/>
          <w:b/>
          <w:bCs/>
          <w:color w:val="2E75B6"/>
          <w:sz w:val="26"/>
          <w:szCs w:val="26"/>
        </w:rPr>
        <w:t xml:space="preserve">7.2. Demande de validation</w:t>
      </w:r>
    </w:p>
    <w:p>
      <w:pPr>
        <w:spacing w:after="120" w:line="300"/>
        <w:jc w:val="both"/>
      </w:pPr>
      <w:r>
        <w:rPr>
          <w:rFonts w:ascii="Calibri" w:cs="Calibri" w:eastAsia="Calibri" w:hAnsi="Calibri"/>
          <w:sz w:val="22"/>
          <w:szCs w:val="22"/>
        </w:rPr>
        <w:t xml:space="preserve">L'equipe projet sollicite donc l'accord formel de la Direction generale pour :</w:t>
      </w:r>
    </w:p>
    <w:p>
      <w:pPr>
        <w:pStyle w:val="ListParagraph"/>
        <w:numPr>
          <w:ilvl w:val="0"/>
          <w:numId w:val="2"/>
        </w:numPr>
        <w:spacing w:after="80" w:line="280"/>
      </w:pPr>
      <w:r>
        <w:rPr>
          <w:rFonts w:ascii="Calibri" w:cs="Calibri" w:eastAsia="Calibri" w:hAnsi="Calibri"/>
          <w:sz w:val="22"/>
          <w:szCs w:val="22"/>
        </w:rPr>
        <w:t xml:space="preserve">Lancer la phase pilote sur les usines FR-01 et ES-01 pour une duree de 6 mois.</w:t>
      </w:r>
    </w:p>
    <w:p>
      <w:pPr>
        <w:pStyle w:val="ListParagraph"/>
        <w:numPr>
          <w:ilvl w:val="0"/>
          <w:numId w:val="2"/>
        </w:numPr>
        <w:spacing w:after="80" w:line="280"/>
      </w:pPr>
      <w:r>
        <w:rPr>
          <w:rFonts w:ascii="Calibri" w:cs="Calibri" w:eastAsia="Calibri" w:hAnsi="Calibri"/>
          <w:sz w:val="22"/>
          <w:szCs w:val="22"/>
        </w:rPr>
        <w:t xml:space="preserve">Valider un budget phase pilote entre 100 et 165 k EUR incluant recrutement d'un data engineer senior.</w:t>
      </w:r>
    </w:p>
    <w:p>
      <w:pPr>
        <w:pStyle w:val="ListParagraph"/>
        <w:numPr>
          <w:ilvl w:val="0"/>
          <w:numId w:val="2"/>
        </w:numPr>
        <w:spacing w:after="80" w:line="280"/>
      </w:pPr>
      <w:r>
        <w:rPr>
          <w:rFonts w:ascii="Calibri" w:cs="Calibri" w:eastAsia="Calibri" w:hAnsi="Calibri"/>
          <w:sz w:val="22"/>
          <w:szCs w:val="22"/>
        </w:rPr>
        <w:t xml:space="preserve">Mettre en place une gouvernance projet avec un COPIL mensuel sous sponsoring DG.</w:t>
      </w:r>
    </w:p>
    <w:p>
      <w:pPr>
        <w:pStyle w:val="ListParagraph"/>
        <w:numPr>
          <w:ilvl w:val="0"/>
          <w:numId w:val="2"/>
        </w:numPr>
        <w:spacing w:after="80" w:line="280"/>
      </w:pPr>
      <w:r>
        <w:rPr>
          <w:rFonts w:ascii="Calibri" w:cs="Calibri" w:eastAsia="Calibri" w:hAnsi="Calibri"/>
          <w:sz w:val="22"/>
          <w:szCs w:val="22"/>
        </w:rPr>
        <w:t xml:space="preserve">Prevoir un arbitrage formel a M6 pour decider du passage en phase de generalisation.</w:t>
      </w:r>
    </w:p>
    <w:p>
      <w:pPr>
        <w:pStyle w:val="Heading2"/>
        <w:spacing w:after="160" w:before="300"/>
      </w:pPr>
      <w:r>
        <w:rPr>
          <w:rFonts w:ascii="Calibri" w:cs="Calibri" w:eastAsia="Calibri" w:hAnsi="Calibri"/>
          <w:b/>
          <w:bCs/>
          <w:color w:val="2E75B6"/>
          <w:sz w:val="26"/>
          <w:szCs w:val="26"/>
        </w:rPr>
        <w:t xml:space="preserve">7.3. Prochaines etapes</w:t>
      </w:r>
    </w:p>
    <w:p>
      <w:pPr>
        <w:pStyle w:val="ListParagraph"/>
        <w:numPr>
          <w:ilvl w:val="0"/>
          <w:numId w:val="2"/>
        </w:numPr>
        <w:spacing w:after="80" w:line="280"/>
      </w:pPr>
      <w:r>
        <w:rPr>
          <w:rFonts w:ascii="Calibri" w:cs="Calibri" w:eastAsia="Calibri" w:hAnsi="Calibri"/>
          <w:sz w:val="22"/>
          <w:szCs w:val="22"/>
        </w:rPr>
        <w:t xml:space="preserve">Validation de la note de faisabilite en COMEX.</w:t>
      </w:r>
    </w:p>
    <w:p>
      <w:pPr>
        <w:pStyle w:val="ListParagraph"/>
        <w:numPr>
          <w:ilvl w:val="0"/>
          <w:numId w:val="2"/>
        </w:numPr>
        <w:spacing w:after="80" w:line="280"/>
      </w:pPr>
      <w:r>
        <w:rPr>
          <w:rFonts w:ascii="Calibri" w:cs="Calibri" w:eastAsia="Calibri" w:hAnsi="Calibri"/>
          <w:sz w:val="22"/>
          <w:szCs w:val="22"/>
        </w:rPr>
        <w:t xml:space="preserve">Lancement du recrutement du data engineer senior.</w:t>
      </w:r>
    </w:p>
    <w:p>
      <w:pPr>
        <w:pStyle w:val="ListParagraph"/>
        <w:numPr>
          <w:ilvl w:val="0"/>
          <w:numId w:val="2"/>
        </w:numPr>
        <w:spacing w:after="80" w:line="280"/>
      </w:pPr>
      <w:r>
        <w:rPr>
          <w:rFonts w:ascii="Calibri" w:cs="Calibri" w:eastAsia="Calibri" w:hAnsi="Calibri"/>
          <w:sz w:val="22"/>
          <w:szCs w:val="22"/>
        </w:rPr>
        <w:t xml:space="preserve">Formalisation du cahier des charges de la phase pilote.</w:t>
      </w:r>
    </w:p>
    <w:p>
      <w:pPr>
        <w:pStyle w:val="ListParagraph"/>
        <w:numPr>
          <w:ilvl w:val="0"/>
          <w:numId w:val="2"/>
        </w:numPr>
        <w:spacing w:after="80" w:line="280"/>
      </w:pPr>
      <w:r>
        <w:rPr>
          <w:rFonts w:ascii="Calibri" w:cs="Calibri" w:eastAsia="Calibri" w:hAnsi="Calibri"/>
          <w:sz w:val="22"/>
          <w:szCs w:val="22"/>
        </w:rPr>
        <w:t xml:space="preserve">Consultation des fournisseurs potentiels (hors equipe projet academique).</w:t>
      </w:r>
    </w:p>
    <w:p>
      <w:pPr>
        <w:pStyle w:val="ListParagraph"/>
        <w:numPr>
          <w:ilvl w:val="0"/>
          <w:numId w:val="2"/>
        </w:numPr>
        <w:spacing w:after="80" w:line="280"/>
      </w:pPr>
      <w:r>
        <w:rPr>
          <w:rFonts w:ascii="Calibri" w:cs="Calibri" w:eastAsia="Calibri" w:hAnsi="Calibri"/>
          <w:sz w:val="22"/>
          <w:szCs w:val="22"/>
        </w:rPr>
        <w:t xml:space="preserve">Kickoff de la phase pilote au plus tard a M+2 apres validation.</w:t>
      </w:r>
    </w:p>
    <w:p>
      <w:pPr>
        <w:spacing w:after="120" w:line="300"/>
        <w:jc w:val="both"/>
      </w:pPr>
      <w:r>
        <w:rPr>
          <w:rFonts w:ascii="Calibri" w:cs="Calibri" w:eastAsia="Calibri" w:hAnsi="Calibri"/>
          <w:sz w:val="22"/>
          <w:szCs w:val="22"/>
        </w:rPr>
        <w:t xml:space="preserve"/>
      </w:r>
    </w:p>
    <w:p>
      <w:pPr>
        <w:spacing w:after="120" w:line="300"/>
        <w:jc w:val="both"/>
      </w:pPr>
      <w:r>
        <w:rPr>
          <w:rFonts w:ascii="Calibri" w:cs="Calibri" w:eastAsia="Calibri" w:hAnsi="Calibri"/>
          <w:i/>
          <w:iCs/>
          <w:color w:val="5A6B7C"/>
          <w:sz w:val="22"/>
          <w:szCs w:val="22"/>
        </w:rPr>
        <w:t xml:space="preserve">Nous restons a la disposition de la Direction pour toute precision et pour presenter les elements techniques en detail si necessaire.</w:t>
      </w:r>
    </w:p>
    <w:p>
      <w:pPr>
        <w:spacing w:after="120" w:line="300"/>
        <w:jc w:val="center"/>
      </w:pPr>
      <w:r>
        <w:rPr>
          <w:rFonts w:ascii="Calibri" w:cs="Calibri" w:eastAsia="Calibri" w:hAnsi="Calibri"/>
          <w:sz w:val="22"/>
          <w:szCs w:val="22"/>
        </w:rPr>
        <w:t xml:space="preserve"/>
      </w:r>
    </w:p>
    <w:p>
      <w:pPr>
        <w:spacing w:after="120" w:line="300"/>
        <w:jc w:val="center"/>
      </w:pPr>
      <w:r>
        <w:rPr>
          <w:rFonts w:ascii="Calibri" w:cs="Calibri" w:eastAsia="Calibri" w:hAnsi="Calibri"/>
          <w:i/>
          <w:iCs/>
          <w:color w:val="5A6B7C"/>
          <w:sz w:val="22"/>
          <w:szCs w:val="22"/>
        </w:rPr>
        <w:t xml:space="preserve">Romaric TCHOFFO &amp; Emmanuel AMEGA</w:t>
      </w:r>
    </w:p>
    <w:p>
      <w:pPr>
        <w:spacing w:after="120" w:line="300"/>
        <w:jc w:val="center"/>
      </w:pPr>
      <w:r>
        <w:rPr>
          <w:rFonts w:ascii="Calibri" w:cs="Calibri" w:eastAsia="Calibri" w:hAnsi="Calibri"/>
          <w:i/>
          <w:iCs/>
          <w:color w:val="5A6B7C"/>
          <w:sz w:val="22"/>
          <w:szCs w:val="22"/>
        </w:rPr>
        <w:t xml:space="preserve">EPSI - Mastere Expert en Intelligence Artificielle - 2025/2026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B7C"/>
        <w:sz w:val="18"/>
        <w:szCs w:val="18"/>
      </w:rPr>
      <w:t xml:space="preserve">Page </w:t>
    </w:r>
    <w:r>
      <w:rPr>
        <w:rFonts w:ascii="Calibri" w:cs="Calibri" w:eastAsia="Calibri" w:hAnsi="Calibri"/>
        <w:color w:val="5A6B7C"/>
        <w:sz w:val="18"/>
        <w:szCs w:val="18"/>
      </w:rPr>
      <w:fldChar w:fldCharType="begin"/>
      <w:instrText xml:space="preserve">PAGE</w:instrText>
      <w:fldChar w:fldCharType="separate"/>
      <w:fldChar w:fldCharType="end"/>
    </w:r>
    <w:r>
      <w:rPr>
        <w:rFonts w:ascii="Calibri" w:cs="Calibri" w:eastAsia="Calibri" w:hAnsi="Calibri"/>
        <w:color w:val="5A6B7C"/>
        <w:sz w:val="18"/>
        <w:szCs w:val="18"/>
      </w:rPr>
      <w:t xml:space="preserve"> sur </w:t>
    </w:r>
    <w:r>
      <w:rPr>
        <w:rFonts w:ascii="Calibri" w:cs="Calibri" w:eastAsia="Calibri" w:hAnsi="Calibri"/>
        <w:color w:val="5A6B7C"/>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Calibri" w:cs="Calibri" w:eastAsia="Calibri" w:hAnsi="Calibri"/>
        <w:i/>
        <w:iCs/>
        <w:color w:val="5A6B7C"/>
        <w:sz w:val="18"/>
        <w:szCs w:val="18"/>
      </w:rPr>
      <w:t xml:space="preserve">MSPR TPRE831 - Note de faisabilite - Romaric TCHOFFO &amp; Emmanuel AMEGA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60" w:before="30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20" w:before="240"/>
      <w:outlineLvl w:val="2"/>
    </w:pPr>
    <w:rPr>
      <w:rFonts w:ascii="Calibri" w:cs="Calibri" w:eastAsia="Calibri" w:hAnsi="Calibri"/>
      <w:b/>
      <w:b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de faisabilite</dc:title>
  <dc:creator>Romaric TCHOFFO &amp; Emmanuel AMEGA</dc:creator>
  <dc:description>Livrable MSPR TPRE831 - Projet MECHA</dc:description>
  <cp:lastModifiedBy>Un-named</cp:lastModifiedBy>
  <cp:revision>1</cp:revision>
  <dcterms:created xsi:type="dcterms:W3CDTF">2026-04-21T05:11:13.650Z</dcterms:created>
  <dcterms:modified xsi:type="dcterms:W3CDTF">2026-04-21T05:11:13.651Z</dcterms:modified>
</cp:coreProperties>
</file>

<file path=docProps/custom.xml><?xml version="1.0" encoding="utf-8"?>
<Properties xmlns="http://schemas.openxmlformats.org/officeDocument/2006/custom-properties" xmlns:vt="http://schemas.openxmlformats.org/officeDocument/2006/docPropsVTypes"/>
</file>