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  <Default Extension="jpeg" ContentType="image/jpeg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LIVRABLE 02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3A5F"/>
          <w:sz w:val="48"/>
          <w:szCs w:val="48"/>
        </w:rPr>
        <w:t xml:space="preserve">Analyse des risques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5A6B7C"/>
          <w:sz w:val="28"/>
          <w:szCs w:val="28"/>
        </w:rPr>
        <w:t xml:space="preserve">Identification, cotation et mesures de mitigation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Projet MECHA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5A6B7C"/>
          <w:sz w:val="24"/>
          <w:szCs w:val="24"/>
        </w:rPr>
        <w:t xml:space="preserve">PoC Pilotage industriel et IA predictive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MSPR TPRE831 - Bloc 3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Certification RNCP 35584 - Expert en Informatique et Systeme d'Information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2E75B6"/>
        </w:rPr>
        <w:t xml:space="preserve">━━━━━━━━━━━━━━━━━━━━━━━━━━━━━━━━━━━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Equipe projet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Romaric TCHOFFO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Emmanuel AMEGA</w:t>
      </w:r>
    </w:p>
    <w:p>
      <w:pPr>
        <w:jc w:val="center"/>
      </w:pPr>
      <w:r>
        <w:rPr>
          <w:rFonts w:ascii="Calibri" w:cs="Calibri" w:eastAsia="Calibri" w:hAnsi="Calibri"/>
          <w:color w:val="5A6B7C"/>
          <w:sz w:val="20"/>
          <w:szCs w:val="20"/>
        </w:rPr>
        <w:t xml:space="preserve">EPSI - Mastere Expert en Intelligence Artificielle - 2025/2026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Sommaire</w:t>
      </w:r>
    </w:p>
    <w:sdt>
      <w:sdtPr>
        <w:alias w:val="Table des matiere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1. Methodologie d'analyse des risques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1.1. Objet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present document identifie et evalue les risques susceptibles d'affecter la reussite du projet MECHA, qu'il s'agisse du PoC lui-meme ou de la phase ulterieure d'industrialisation. Il propose pour chaque risque identifie une strategie de mitigation adaptee.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gestion des risques est une composante essentielle de la gouvernance projet. Un risque non identifie devient un probleme non anticipe, souvent couteux. Cette analyse sera revisee a chaque jalon du projet et tenue a jour par le comite de pilotage.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1.2. Grille de cotation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Chaque risque est cote selon deux axes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Probabilite d'occurrence (P) : echelle 1 (tres faible) a 4 (tres forte).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Gravite de l'impact (G) : echelle 1 (negligeable) a 4 (critique).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Criticite (C) = P x G : echelle 1 a 16.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Echelle de criticite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Criticite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Traitement requis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1 - 4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Faible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Acceptation, surveillance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5 - 8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Surveillance active, plan de mitigation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9 - 12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 de mitigation obligatoire, suivi mensuel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13 - 16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Critique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 de mitigation prioritaire, suivi hebdomadaire, escalade comite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1.3. Cartographie synthetique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risques identifies se repartissent en cinq categories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techniques : fiabilite, architecture, performance.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de donnees : qualite, disponibilite, derive.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organisationnels : adhesion, competences, coordination.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reglementaires et securite : RGPD, cybersecurite, AI Act.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Risques metier et strategie : ROI, alignement, adoption.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2. Risques techniques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2.1. R-T-01 : Heterogeneite des sources de donnees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5 usines MECHA utilisent des systemes SCADA/MES differents avec des formats, frequences et nomenclatures heterogenes.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 - constate des le cadrage)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bloquant pour la consolidation)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Retard de generalisation, cout additionnel de connecteurs specifiques, donnees potentiellement divergentes.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Definir une couche d'abstraction (adapters par site) concentrant la complexite dans le code d'ingestion.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Valider la demarche d'abstraction sur le PoC (2 usines simulees avec leger decalage).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specifications de chaque site avant developpement des connecteurs (cahier des charges technique par usine).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Prevoir une phase de normalisation dans le pipeline silver pour aligner les schemas.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2.2. R-T-02 : Panne du systeme SCADA source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Une panne prolongee du SCADA sur un site coupe l'alimentation des dashboards et du systeme d'alertes.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perte temporaire de visibilite sur le site concerne)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Dashboards fige ou en retard, alertes non levees, decisions aveugles.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monitoring de l'ingestion (timestamp de derniere donnee par site).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Afficher une alerte systeme sur le dashboard si un site ne remonte plus depuis plus de 30 minutes.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l'historique de la derniere journee complete comme fallback.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la procedure d'escalade aupres du support industriel en cas de panne SCADA prolongee.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2.3. R-T-03 : Montee en charge insuffisante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PoC fonctionne sur 10 000 pieces simulees. La production reelle peut atteindre 50 000 pieces/jour par site, soit 250 000 /jour sur 5 sites.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sans test de charge)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blocage de la generalisation)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Temps de reponse degrades, batchs nocturnes ne tenant pas les fenetres, retard pour les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Executer des tests de charge en phase pilote avec une semaine de donnees reelles par site.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Prevoir une architecture scalable : DuckDB peut etre remplace par Snowflake, BigQuery ou Databricks si necessaire.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Profiler les requetes critiques et ajouter des index / tables d'agregat.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Anticiper le passage a un moteur de streaming (Kafka + Spark Streaming) en phase 2 si les batchs sont insuffisants.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2.4. R-T-04 : Derive du modele ML en 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08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ashboard_ia_benchmark_mode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08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Reference pour le suivi de derive : benchmark initial des modeles servant de baseline (XGBoost PR-AUC 0,705 a comparer aux metriques futures)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conditions de production evoluent (nouveaux materiaux, nouvelles gammes, usure des machines) et le modele ML perd en performance sans qu'on le detecte.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en production)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perte silencieuse de fiabilite des alertes)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Augmentation des faux positifs ou faux negatifs, perte de confiance des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monitoring de drift via MLflow : comparer la distribution des features et des predictions sur le mois courant vs mois de reference.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Definir des seuils d'alerte automatiques sur la derive (KS-test, PSI).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Planifier un re-entrainement trimestriel et ponctuel en cas de derive avere.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une procedure de rollback vers le modele precedent si la nouvelle version degrade les metriques.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2.5. R-T-05 : Dette technique accumulee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code du PoC, focalise sur la demonstration, pourrait etre difficile a maintenir a l'echelle (absence de tests unitaires exhaustifs, code en notebooks plutot que modules packages).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ralentissement mais pas de blocage)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Ralentissement de la maintenance evolutive, couts de montee en qualite en phase 2.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Refactoriser le code en modules Python (src/mecha) en debut de phase 2.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Ajouter des tests unitaires (pytest) couvrant au minimum les transformations critiques.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une CI GitHub Actions (ruff, pytest) sur toute pull request.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decisions d'architecture dans docs/adr/ (Architecture Decision Records).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3. Risques lies aux donnees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3.1. R-D-01 : Qualite insuffisante des donnees brutes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15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ashboard_qualite_comparat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5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Mitigation du risque qualite : suivi avant/apres nettoyage sur ES-01 (passage de 99,244 % a 100 % de completude, 531 valeurs manquantes traitees)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donnees capteurs reelles peuvent contenir des taux de manquants, de valeurs aberrantes ou d'incoherences superieurs a ceux du jeu de test.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impact direct sur la performance ML et la fiabilite des KPIs)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Modele peu performant, KPIs biaises, perte de confiance utilisateurs.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Audit qualite systematique des donnees en phase pilote avant toute utilisation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Pipeline bronze/silver robuste avec Pandera et rapports JSON de qualite.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Alertes automatiques si le taux de manquants sur un capteur depasse 5 % sur une fenetre horaire.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Dialogue etroit avec les equipes maintenance pour traiter les capteurs defaillants en amont.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3.2. R-D-02 : Tracabilite insuffisante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Impossibilite de remonter du resultat d'un KPI a la donnee source, notamment pour les audits qualite aeronautique.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potentiel blocage certification EN 9100)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Ecart audit, risque de perte d'accreditation, impact client aeronautique.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toutes les donnees brutes (couche bronze) de maniere immuable.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Versionner les transformations via DVC avec commits git associes.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Conserver l'identifiant unique de piece (UDI, Product ID) tout au long du pipeline.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les regles de transformation dans la documentation projet.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3.3. R-D-03 : Biais d'echantillonnage et de classe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jeu de donnees est fortement desequilibre (3,4 % de pannes). Un biais d'echantillonnage pourrait degrader la generalite du modele.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adresse methodologiquement)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du modele sous-estimee ou surestimee selon le biais.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Utilisation de metriques robustes au desequilibre (PR-AUC plutot que accuracy).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Split train/test stratifie conservant la proportion de classe.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class_weight='balanced' ou scale_pos_weight pour compenser le desequilibre.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Validation croisee stratifiee (K-fold) en phase pilote.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4. Risques organisationnels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4.1. R-O-01 : Resistance au changement des operateurs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operateurs percoivent le systeme IA comme une menace de surveillance ou de remplacement.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adoption compromise)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Rejet de l'outil, contournements, sabotages passifs (non-respect des alertes).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Communication transparente sur la finalite du projet (aider, pas remplacer).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Implication des operateurs dans la conception des alertes (ateliers de co-design).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Formation pratique sur les outils, valorisation de la competence acquise.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Engagement ecrit de la direction sur la non-utilisation des donnees a des fins individuelles.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4.2. R-O-02 : Manque de competences data en interne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MECHA ne dispose pas de data engineer ni de data scientist en interne pour reprendre la maintenance evolutive.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risque de dependance prestataire)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de sous-traitance eleve, lenteur des evolutions, ruptures de continuite.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Recruter un data engineer en phase pilote (integration dans la DSI).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Former un referent metier par site sur la consultation des dashboards.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Documenter exhaustivement le code et les decisions d'architecture.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Etablir un contrat de support avec un prestataire pour les 18 premiers mois.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4.3. R-O-03 : Deceptions des utilisateurs par rapport aux attentes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utilisateurs attendent un outil magique donnant toutes les reponses. Les limitations (modele probabiliste, besoin de donnees propres) genent la comprehension.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Perte de confiance, baisse d'engagement, remise en cause du projet.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Pedagogie forte sur la difference entre corrélation et causalite (ateliers de sensibilisation).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Expliciter dans les interfaces les intervalles de confiance des predictions.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Quantifier la valeur reelle du modele (nombre de pannes evitees / semaine).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Proposer un outil complementaire, pas un oracle.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5. Risques reglementaires et cybersecurite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5.1. R-R-01 : Conformite RGPD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identifiants operateurs potentiellement captures dans les logs SCADA pourraient constituer des donnees a caractere personnel.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amende CNIL potentielle)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Sanctions financieres (jusqu'a 4 % du CA), atteinte a la reputation.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Analyse d'impact sur la protection des donnees (AIPD) avant mise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Pseudonymisation des identifiants operateurs dans les logs analytiques.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Politique de retention : donnees brutes supprimees apres 24 mois, agregats conserves sans donnees personnelles.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Nomination d'un responsable de la protection des donnees (DPO) sur le perimetre.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Information explicite des operateurs, registre des traitements tenu a jour.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5.2. R-R-02 : AI Act europeen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reglement europeen sur l'IA (AI Act) entre en vigueur progressivement et impose des obligations de documentation, de transparence et de gestion des biais.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(tres forte - reglementation en cours d'application)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impact documentaire principalement)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Obligations de documentation supplementaires, audit de conformite potentiel.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Classification du systeme IA selon la grille AI Act (ici probablement IA a risque limite - systeme d'aide a la decision industrielle).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Documentation technique systematique (model cards) de chaque modele deploye.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Veille reglementaire trimestrielle sur les evolutions AI Act.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Registre des systemes IA utilises en production.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5.3. R-R-03 : Cybersecurite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systemes industriels sont une cible privilegiee des cyberattaques (ransomware, sabotage). L'interconnexion IT/OT cree de nouveaux vecteurs.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 dans le contexte actuel)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 (critique - arret production, fuite de donnees industrielles)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(Elevee)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Arret de production, perte de propriete intellectuelle, impact image.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Segmentation reseau stricte entre le systeme BI et les systemes de production (DMZ).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Authentification forte (SSO + MFA) pour l'acces aux dashboards.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Chiffrement au repos et en transit (TLS 1.3, AES-256).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Audit de securite externe avant mise en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Plan de reprise d'activite (PRA) documente et teste.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6. Risques metier et strategiques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6.1. R-M-01 : ROI non atteint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Les gains metier estimes (TRS +1 pt, rebut -0,5 pt) ne se materialisent pas dans les 18 mois.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(elevee - remise en cause du projet)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Demantelement du projet, perte d'investissement, demotivation equipes.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Mesurer les KPIs metier de reference AVANT le deploiement (baseline).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Mettre en place un comite de pilotage mensuel avec suivi ROI.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Prioriser les cas d'usage a fort ROI rapide (alertes critique &gt; analyses fines).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Integrer des objectifs chiffres dans les evaluations annuelles des responsables d'usine.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6.2. R-M-02 : Obsolescence technologique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6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Attribut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L'ecosysteme data evolue rapidement. Un choix techno aujourd'hui solide peut devenir obsolete en 3 ans.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 (forte)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 (moderee - refactoring necessaire mais pas bloquant)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Criticite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 (Moderee)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Impact</w:t>
            </w:r>
          </w:p>
        </w:tc>
        <w:tc>
          <w:tcPr>
            <w:tcW w:type="dxa" w:w="7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Cout de migration, depenses non prevues.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Mesures de mitigation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Privilegier les standards ouverts (Parquet, SQL, Docker) a un lock-in proprietaire.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Architecture modulaire permettant le remplacement d'un composant sans tout reecrire.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Veille technologique active (abonnement newsletters, participation conferences).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Budget de modernisation incremental (10 % du budget data annuel).</w:t>
      </w:r>
    </w:p>
    <w:p>
      <w:pPr>
        <w:pStyle w:val="Heading1"/>
        <w:pageBreakBefore/>
        <w:spacing w:after="24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7. Synthese et matrice consolidee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7.1. Matrice des risques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128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mlflow_runs_mech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1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- Tracabilite des entrainements via MLflow : chaque version de modele est tracee avec ses metriques pour auditer les derives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800"/>
        <w:gridCol w:w="800"/>
        <w:gridCol w:w="8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Heterogeneite des sources de donnees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Panne du systeme SCADA source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Montee en charge insuffisante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R-T-04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Derive du modele ML en production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R-T-05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Dette technique accumulee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Qualite insuffisante des donnees brutes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Tracabilite insuffisante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R-D-03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Biais d'echantillonnage et de classe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Resistance au changement operateurs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Manque de competences data internes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R-O-03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Deceptions par rapport aux attentes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Conformite RGPD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Act europeen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R-R-03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Cybersecurite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Elevee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R-M-01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ROI non atteint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7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  <w:t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R-M-02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Obsolescence technologique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Moderee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7.2. Top 5 des risques critiques a piloter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risques de criticite la plus elevee (12) doivent faire l'objet d'un suivi prioritaire 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R-T-01 - Heterogeneite des sources : investir dans la couche d'abstraction des que la phase pilote demarre.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R-O-02 - Manque de competences data : recruter un data engineer en phase pilote (prerequis contractuel).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R-R-03 - Cybersecurite : audit externe avant mise en production, segmentation IT/OT non negociable.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R-T-03 - Montee en charge : tests de charge obligatoires en phase pilote sur donnees reelles.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R-T-04 - Derive du modele ML : monitoring de drift via MLflow, re-entrainement trimestriel.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7.3. Gouvernance de la revue des risques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Revue formelle a chaque jalon de phase (S2, S3, S4, S6, S7, S8 pour le PoC).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Escalade au comite de pilotage pour tout nouveau risque critique (C &gt;= 12).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Mise a jour du registre des risques a chaque comite mensuel en phase production.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Calibri" w:cs="Calibri" w:eastAsia="Calibri" w:hAnsi="Calibri"/>
          <w:sz w:val="22"/>
          <w:szCs w:val="22"/>
        </w:rPr>
        <w:t xml:space="preserve">Indicateur de suivi : pourcentage de risques avec plan de mitigation actif et a jour.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Romaric TCHOFFO &amp; Emmanuel AMEGA</w:t>
      </w:r>
    </w:p>
    <w:p>
      <w:pPr>
        <w:spacing w:after="120" w:line="300"/>
        <w:jc w:val="center"/>
      </w:pPr>
      <w:r>
        <w:rPr>
          <w:rFonts w:ascii="Calibri" w:cs="Calibri" w:eastAsia="Calibri" w:hAnsi="Calibri"/>
          <w:i/>
          <w:iCs/>
          <w:color w:val="5A6B7C"/>
          <w:sz w:val="22"/>
          <w:szCs w:val="22"/>
        </w:rPr>
        <w:t xml:space="preserve">EPSI - Mastere Expert en Intelligence Artificielle - 2025/2026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7C"/>
        <w:sz w:val="18"/>
        <w:szCs w:val="18"/>
      </w:rPr>
      <w:t xml:space="preserve">Page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7C"/>
        <w:sz w:val="18"/>
        <w:szCs w:val="18"/>
      </w:rPr>
      <w:t xml:space="preserve"> sur </w:t>
    </w:r>
    <w:r>
      <w:rPr>
        <w:rFonts w:ascii="Calibri" w:cs="Calibri" w:eastAsia="Calibri" w:hAnsi="Calibri"/>
        <w:color w:val="5A6B7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Calibri" w:cs="Calibri" w:eastAsia="Calibri" w:hAnsi="Calibri"/>
        <w:i/>
        <w:iCs/>
        <w:color w:val="5A6B7C"/>
        <w:sz w:val="18"/>
        <w:szCs w:val="18"/>
      </w:rPr>
      <w:t xml:space="preserve">MSPR TPRE831 - Analyse des risques - Romaric TCHOFFO &amp; Emmanuel AMEGA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Analyse des risques</dc:title>
  <dc:creator>Romaric TCHOFFO &amp; Emmanuel AMEGA</dc:creator>
  <dc:description>Livrable MSPR TPRE831 - Projet MECHA</dc:description>
  <cp:lastModifiedBy>Un-named</cp:lastModifiedBy>
  <cp:revision>1</cp:revision>
  <dcterms:created xsi:type="dcterms:W3CDTF">2026-04-21T05:11:11.708Z</dcterms:created>
  <dcterms:modified xsi:type="dcterms:W3CDTF">2026-04-21T05:11:11.709Z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