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Calibri" w:cs="Calibri" w:eastAsia="Calibri" w:hAnsi="Calibri"/>
          <w:b/>
          <w:bCs/>
          <w:color w:val="2E75B6"/>
          <w:sz w:val="28"/>
          <w:szCs w:val="28"/>
        </w:rPr>
        <w:t xml:space="preserve">LIVRABLE 03</w:t>
      </w:r>
    </w:p>
    <w:p>
      <w:pPr>
        <w:spacing w:after="200"/>
        <w:jc w:val="center"/>
      </w:pPr>
      <w:r>
        <w:rPr>
          <w:rFonts w:ascii="Calibri" w:cs="Calibri" w:eastAsia="Calibri" w:hAnsi="Calibri"/>
          <w:b/>
          <w:bCs/>
          <w:color w:val="1F3A5F"/>
          <w:sz w:val="48"/>
          <w:szCs w:val="48"/>
        </w:rPr>
        <w:t xml:space="preserve">Dossier de veille</w:t>
      </w:r>
    </w:p>
    <w:p>
      <w:pPr>
        <w:spacing w:after="800"/>
        <w:jc w:val="center"/>
      </w:pPr>
      <w:r>
        <w:rPr>
          <w:rFonts w:ascii="Calibri" w:cs="Calibri" w:eastAsia="Calibri" w:hAnsi="Calibri"/>
          <w:i/>
          <w:iCs/>
          <w:color w:val="5A6B7C"/>
          <w:sz w:val="28"/>
          <w:szCs w:val="28"/>
        </w:rPr>
        <w:t xml:space="preserve">Veille technologique et reglementaire en IA et BI</w:t>
      </w:r>
    </w:p>
    <w:p>
      <w:pPr>
        <w:spacing w:after="400"/>
        <w:jc w:val="center"/>
      </w:pPr>
      <w:r>
        <w:rPr>
          <w:rFonts w:ascii="Calibri" w:cs="Calibri" w:eastAsia="Calibri" w:hAnsi="Calibri"/>
          <w:color w:val="2E75B6"/>
        </w:rPr>
        <w:t xml:space="preserve">━━━━━━━━━━━━━━━━━━━━━━━━━━━━━━━━━━━</w:t>
      </w:r>
    </w:p>
    <w:p>
      <w:pPr>
        <w:spacing w:after="120"/>
        <w:jc w:val="center"/>
      </w:pPr>
      <w:r>
        <w:rPr>
          <w:rFonts w:ascii="Calibri" w:cs="Calibri" w:eastAsia="Calibri" w:hAnsi="Calibri"/>
          <w:b/>
          <w:bCs/>
          <w:sz w:val="28"/>
          <w:szCs w:val="28"/>
        </w:rPr>
        <w:t xml:space="preserve">Projet MECHA</w:t>
      </w:r>
    </w:p>
    <w:p>
      <w:pPr>
        <w:spacing w:after="400"/>
        <w:jc w:val="center"/>
      </w:pPr>
      <w:r>
        <w:rPr>
          <w:rFonts w:ascii="Calibri" w:cs="Calibri" w:eastAsia="Calibri" w:hAnsi="Calibri"/>
          <w:i/>
          <w:iCs/>
          <w:color w:val="5A6B7C"/>
          <w:sz w:val="24"/>
          <w:szCs w:val="24"/>
        </w:rPr>
        <w:t xml:space="preserve">PoC Pilotage industriel et IA predictive</w:t>
      </w:r>
    </w:p>
    <w:p>
      <w:pPr>
        <w:spacing w:after="120"/>
        <w:jc w:val="center"/>
      </w:pPr>
      <w:r>
        <w:rPr>
          <w:rFonts w:ascii="Calibri" w:cs="Calibri" w:eastAsia="Calibri" w:hAnsi="Calibri"/>
          <w:sz w:val="22"/>
          <w:szCs w:val="22"/>
        </w:rPr>
        <w:t xml:space="preserve">MSPR TPRE831 - Bloc 3</w:t>
      </w:r>
    </w:p>
    <w:p>
      <w:pPr>
        <w:spacing w:after="600"/>
        <w:jc w:val="center"/>
      </w:pPr>
      <w:r>
        <w:rPr>
          <w:rFonts w:ascii="Calibri" w:cs="Calibri" w:eastAsia="Calibri" w:hAnsi="Calibri"/>
          <w:color w:val="5A6B7C"/>
          <w:sz w:val="20"/>
          <w:szCs w:val="20"/>
        </w:rPr>
        <w:t xml:space="preserve">Certification RNCP 35584 - Expert en Informatique et Systeme d'Information</w:t>
      </w:r>
    </w:p>
    <w:p>
      <w:pPr>
        <w:spacing w:after="400"/>
        <w:jc w:val="center"/>
      </w:pPr>
      <w:r>
        <w:rPr>
          <w:rFonts w:ascii="Calibri" w:cs="Calibri" w:eastAsia="Calibri" w:hAnsi="Calibri"/>
          <w:color w:val="2E75B6"/>
        </w:rPr>
        <w:t xml:space="preserve">━━━━━━━━━━━━━━━━━━━━━━━━━━━━━━━━━━━</w:t>
      </w:r>
    </w:p>
    <w:p>
      <w:pPr>
        <w:spacing w:after="160"/>
        <w:jc w:val="center"/>
      </w:pPr>
      <w:r>
        <w:rPr>
          <w:rFonts w:ascii="Calibri" w:cs="Calibri" w:eastAsia="Calibri" w:hAnsi="Calibri"/>
          <w:b/>
          <w:bCs/>
          <w:sz w:val="22"/>
          <w:szCs w:val="22"/>
        </w:rPr>
        <w:t xml:space="preserve">Equipe projet</w:t>
      </w:r>
    </w:p>
    <w:p>
      <w:pPr>
        <w:spacing w:after="80"/>
        <w:jc w:val="center"/>
      </w:pPr>
      <w:r>
        <w:rPr>
          <w:rFonts w:ascii="Calibri" w:cs="Calibri" w:eastAsia="Calibri" w:hAnsi="Calibri"/>
          <w:b/>
          <w:bCs/>
          <w:sz w:val="24"/>
          <w:szCs w:val="24"/>
        </w:rPr>
        <w:t xml:space="preserve">Romaric TCHOFFO</w:t>
      </w:r>
    </w:p>
    <w:p>
      <w:pPr>
        <w:spacing w:after="600"/>
        <w:jc w:val="center"/>
      </w:pPr>
      <w:r>
        <w:rPr>
          <w:rFonts w:ascii="Calibri" w:cs="Calibri" w:eastAsia="Calibri" w:hAnsi="Calibri"/>
          <w:b/>
          <w:bCs/>
          <w:sz w:val="24"/>
          <w:szCs w:val="24"/>
        </w:rPr>
        <w:t xml:space="preserve">Emmanuel AMEGA</w:t>
      </w:r>
    </w:p>
    <w:p>
      <w:pPr>
        <w:jc w:val="center"/>
      </w:pPr>
      <w:r>
        <w:rPr>
          <w:rFonts w:ascii="Calibri" w:cs="Calibri" w:eastAsia="Calibri" w:hAnsi="Calibri"/>
          <w:color w:val="5A6B7C"/>
          <w:sz w:val="20"/>
          <w:szCs w:val="20"/>
        </w:rPr>
        <w:t xml:space="preserve">EPSI - Mastere Expert en Intelligence Artificielle - 2025/2026</w:t>
      </w:r>
    </w:p>
    <w:p>
      <w:pPr>
        <w:pStyle w:val="Heading1"/>
        <w:pageBreakBefore/>
        <w:spacing w:after="240" w:before="360"/>
      </w:pPr>
      <w:r>
        <w:rPr>
          <w:rFonts w:ascii="Calibri" w:cs="Calibri" w:eastAsia="Calibri" w:hAnsi="Calibri"/>
          <w:b/>
          <w:bCs/>
          <w:color w:val="1F3A5F"/>
          <w:sz w:val="32"/>
          <w:szCs w:val="32"/>
        </w:rPr>
        <w:t xml:space="preserve">Sommaire</w:t>
      </w:r>
    </w:p>
    <w:sdt>
      <w:sdtPr>
        <w:alias w:val="Table des matieres"/>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Calibri" w:cs="Calibri" w:eastAsia="Calibri" w:hAnsi="Calibri"/>
          <w:b/>
          <w:bCs/>
          <w:color w:val="1F3A5F"/>
          <w:sz w:val="32"/>
          <w:szCs w:val="32"/>
        </w:rPr>
        <w:t xml:space="preserve">1. Introduction</w:t>
      </w:r>
    </w:p>
    <w:p>
      <w:pPr>
        <w:pStyle w:val="Heading2"/>
        <w:spacing w:after="160" w:before="300"/>
      </w:pPr>
      <w:r>
        <w:rPr>
          <w:rFonts w:ascii="Calibri" w:cs="Calibri" w:eastAsia="Calibri" w:hAnsi="Calibri"/>
          <w:b/>
          <w:bCs/>
          <w:color w:val="2E75B6"/>
          <w:sz w:val="26"/>
          <w:szCs w:val="26"/>
        </w:rPr>
        <w:t xml:space="preserve">1.1. Objet du dossier</w:t>
      </w:r>
    </w:p>
    <w:p>
      <w:pPr>
        <w:spacing w:after="120" w:line="300"/>
        <w:jc w:val="both"/>
      </w:pPr>
      <w:r>
        <w:rPr>
          <w:rFonts w:ascii="Calibri" w:cs="Calibri" w:eastAsia="Calibri" w:hAnsi="Calibri"/>
          <w:sz w:val="22"/>
          <w:szCs w:val="22"/>
        </w:rPr>
        <w:t xml:space="preserve">Ce dossier de veille technologique et reglementaire en Intelligence Artificielle et Business Intelligence reunit les elements de contexte necessaires a la bonne conduite du projet MECHA. Il synthetise les evolutions majeures de l'ecosysteme applique a l'industrie manufacturiere, les tendances technologiques, les evolutions normatives et les retours d'experience significatifs.</w:t>
      </w:r>
    </w:p>
    <w:p>
      <w:pPr>
        <w:spacing w:after="120" w:line="300"/>
        <w:jc w:val="both"/>
      </w:pPr>
      <w:r>
        <w:rPr>
          <w:rFonts w:ascii="Calibri" w:cs="Calibri" w:eastAsia="Calibri" w:hAnsi="Calibri"/>
          <w:sz w:val="22"/>
          <w:szCs w:val="22"/>
        </w:rPr>
        <w:t xml:space="preserve">La veille est une composante essentielle d'un projet data : les technologies evoluent rapidement, les cadres reglementaires se structurent (RGPD, AI Act europeen, normes sectorielles), et les retours d'experience permettent d'eviter des erreurs couteuses ou de capter des opportunites.</w:t>
      </w:r>
    </w:p>
    <w:p>
      <w:pPr>
        <w:pStyle w:val="Heading2"/>
        <w:spacing w:after="160" w:before="300"/>
      </w:pPr>
      <w:r>
        <w:rPr>
          <w:rFonts w:ascii="Calibri" w:cs="Calibri" w:eastAsia="Calibri" w:hAnsi="Calibri"/>
          <w:b/>
          <w:bCs/>
          <w:color w:val="2E75B6"/>
          <w:sz w:val="26"/>
          <w:szCs w:val="26"/>
        </w:rPr>
        <w:t xml:space="preserve">1.2. Methodologie de veille</w:t>
      </w:r>
    </w:p>
    <w:p>
      <w:pPr>
        <w:spacing w:after="120" w:line="300"/>
        <w:jc w:val="both"/>
      </w:pPr>
      <w:r>
        <w:rPr>
          <w:rFonts w:ascii="Calibri" w:cs="Calibri" w:eastAsia="Calibri" w:hAnsi="Calibri"/>
          <w:sz w:val="22"/>
          <w:szCs w:val="22"/>
        </w:rPr>
        <w:t xml:space="preserve">La veille realisee pour ce projet s'appuie sur cinq sources complementaires :</w:t>
      </w:r>
    </w:p>
    <w:p>
      <w:pPr>
        <w:pStyle w:val="ListParagraph"/>
        <w:numPr>
          <w:ilvl w:val="0"/>
          <w:numId w:val="2"/>
        </w:numPr>
        <w:spacing w:after="80" w:line="280"/>
      </w:pPr>
      <w:r>
        <w:rPr>
          <w:rFonts w:ascii="Calibri" w:cs="Calibri" w:eastAsia="Calibri" w:hAnsi="Calibri"/>
          <w:sz w:val="22"/>
          <w:szCs w:val="22"/>
        </w:rPr>
        <w:t xml:space="preserve">Publications scientifiques : arXiv, Journal of Manufacturing Systems, IEEE Transactions on Industrial Informatics.</w:t>
      </w:r>
    </w:p>
    <w:p>
      <w:pPr>
        <w:pStyle w:val="ListParagraph"/>
        <w:numPr>
          <w:ilvl w:val="0"/>
          <w:numId w:val="2"/>
        </w:numPr>
        <w:spacing w:after="80" w:line="280"/>
      </w:pPr>
      <w:r>
        <w:rPr>
          <w:rFonts w:ascii="Calibri" w:cs="Calibri" w:eastAsia="Calibri" w:hAnsi="Calibri"/>
          <w:sz w:val="22"/>
          <w:szCs w:val="22"/>
        </w:rPr>
        <w:t xml:space="preserve">Rapports sectoriels : Gartner, Forrester, McKinsey Manufacturing.</w:t>
      </w:r>
    </w:p>
    <w:p>
      <w:pPr>
        <w:pStyle w:val="ListParagraph"/>
        <w:numPr>
          <w:ilvl w:val="0"/>
          <w:numId w:val="2"/>
        </w:numPr>
        <w:spacing w:after="80" w:line="280"/>
      </w:pPr>
      <w:r>
        <w:rPr>
          <w:rFonts w:ascii="Calibri" w:cs="Calibri" w:eastAsia="Calibri" w:hAnsi="Calibri"/>
          <w:sz w:val="22"/>
          <w:szCs w:val="22"/>
        </w:rPr>
        <w:t xml:space="preserve">Documentation officielle : editeurs (Microsoft, AWS, Databricks, Snowflake) et organismes (EU AI Office, CNIL, AFNOR).</w:t>
      </w:r>
    </w:p>
    <w:p>
      <w:pPr>
        <w:pStyle w:val="ListParagraph"/>
        <w:numPr>
          <w:ilvl w:val="0"/>
          <w:numId w:val="2"/>
        </w:numPr>
        <w:spacing w:after="80" w:line="280"/>
      </w:pPr>
      <w:r>
        <w:rPr>
          <w:rFonts w:ascii="Calibri" w:cs="Calibri" w:eastAsia="Calibri" w:hAnsi="Calibri"/>
          <w:sz w:val="22"/>
          <w:szCs w:val="22"/>
        </w:rPr>
        <w:t xml:space="preserve">Conferences et retours d'experience : conferences europeennes sur l'Industrie 4.0, meetups data.</w:t>
      </w:r>
    </w:p>
    <w:p>
      <w:pPr>
        <w:pStyle w:val="ListParagraph"/>
        <w:numPr>
          <w:ilvl w:val="0"/>
          <w:numId w:val="2"/>
        </w:numPr>
        <w:spacing w:after="80" w:line="280"/>
      </w:pPr>
      <w:r>
        <w:rPr>
          <w:rFonts w:ascii="Calibri" w:cs="Calibri" w:eastAsia="Calibri" w:hAnsi="Calibri"/>
          <w:sz w:val="22"/>
          <w:szCs w:val="22"/>
        </w:rPr>
        <w:t xml:space="preserve">Ecosysteme open source : projets references sur GitHub (MLflow, scikit-learn, XGBoost, DVC).</w:t>
      </w:r>
    </w:p>
    <w:p>
      <w:pPr>
        <w:pStyle w:val="Heading2"/>
        <w:spacing w:after="160" w:before="300"/>
      </w:pPr>
      <w:r>
        <w:rPr>
          <w:rFonts w:ascii="Calibri" w:cs="Calibri" w:eastAsia="Calibri" w:hAnsi="Calibri"/>
          <w:b/>
          <w:bCs/>
          <w:color w:val="2E75B6"/>
          <w:sz w:val="26"/>
          <w:szCs w:val="26"/>
        </w:rPr>
        <w:t xml:space="preserve">1.3. Structure du dossier</w:t>
      </w:r>
    </w:p>
    <w:p>
      <w:pPr>
        <w:spacing w:after="120" w:line="300"/>
        <w:jc w:val="both"/>
      </w:pPr>
      <w:r>
        <w:rPr>
          <w:rFonts w:ascii="Calibri" w:cs="Calibri" w:eastAsia="Calibri" w:hAnsi="Calibri"/>
          <w:sz w:val="22"/>
          <w:szCs w:val="22"/>
        </w:rPr>
        <w:t xml:space="preserve">Le dossier est structure en quatre volets complementaires : volet technologique IA et machine learning, volet Business Intelligence et data platforms, volet reglementaire et ethique, et volet sectoriel Industrie 4.0.</w:t>
      </w:r>
    </w:p>
    <w:p>
      <w:pPr>
        <w:pStyle w:val="Heading1"/>
        <w:pageBreakBefore/>
        <w:spacing w:after="240" w:before="360"/>
      </w:pPr>
      <w:r>
        <w:rPr>
          <w:rFonts w:ascii="Calibri" w:cs="Calibri" w:eastAsia="Calibri" w:hAnsi="Calibri"/>
          <w:b/>
          <w:bCs/>
          <w:color w:val="1F3A5F"/>
          <w:sz w:val="32"/>
          <w:szCs w:val="32"/>
        </w:rPr>
        <w:t xml:space="preserve">2. Volet technologique : Intelligence Artificielle</w:t>
      </w:r>
    </w:p>
    <w:p>
      <w:pPr>
        <w:pStyle w:val="Heading2"/>
        <w:spacing w:after="160" w:before="300"/>
      </w:pPr>
      <w:r>
        <w:rPr>
          <w:rFonts w:ascii="Calibri" w:cs="Calibri" w:eastAsia="Calibri" w:hAnsi="Calibri"/>
          <w:b/>
          <w:bCs/>
          <w:color w:val="2E75B6"/>
          <w:sz w:val="26"/>
          <w:szCs w:val="26"/>
        </w:rPr>
        <w:t xml:space="preserve">2.1. Evolution des algorithmes de machine learning</w:t>
      </w:r>
    </w:p>
    <w:p>
      <w:pPr>
        <w:spacing w:after="120" w:line="300"/>
        <w:jc w:val="both"/>
      </w:pPr>
      <w:r>
        <w:rPr>
          <w:rFonts w:ascii="Calibri" w:cs="Calibri" w:eastAsia="Calibri" w:hAnsi="Calibri"/>
          <w:sz w:val="22"/>
          <w:szCs w:val="22"/>
        </w:rPr>
        <w:t xml:space="preserve">Les algorithmes d'apprentissage automatique appliques aux donnees tabulaires industrielles presentent une maturite elevee. Les principales familles d'algorithmes suivent une hierarchie de performance empirique confirmee sur de nombreux benchmarks.</w:t>
      </w:r>
    </w:p>
    <w:p>
      <w:pPr>
        <w:pStyle w:val="Heading3"/>
        <w:spacing w:after="120" w:before="240"/>
      </w:pPr>
      <w:r>
        <w:rPr>
          <w:rFonts w:ascii="Calibri" w:cs="Calibri" w:eastAsia="Calibri" w:hAnsi="Calibri"/>
          <w:b/>
          <w:bCs/>
          <w:color w:val="1F3A5F"/>
          <w:sz w:val="22"/>
          <w:szCs w:val="22"/>
        </w:rPr>
        <w:t xml:space="preserve">2.1.1. Gradient Boosting : l'etat de l'art sur tabulaire</w:t>
      </w:r>
    </w:p>
    <w:p>
      <w:pPr>
        <w:jc w:val="center"/>
      </w:pPr>
      <w:r>
        <w:drawing>
          <wp:inline xmlns:a="http://schemas.openxmlformats.org/drawingml/2006/main" xmlns:pic="http://schemas.openxmlformats.org/drawingml/2006/picture">
            <wp:extent cx="5303520" cy="1708227"/>
            <wp:docPr id="1" name="Picture 1"/>
            <wp:cNvGraphicFramePr>
              <a:graphicFrameLocks noChangeAspect="1"/>
            </wp:cNvGraphicFramePr>
            <a:graphic>
              <a:graphicData uri="http://schemas.openxmlformats.org/drawingml/2006/picture">
                <pic:pic>
                  <pic:nvPicPr>
                    <pic:cNvPr id="0" name="11_dashboard_ia_benchmark_modeles.png"/>
                    <pic:cNvPicPr/>
                  </pic:nvPicPr>
                  <pic:blipFill>
                    <a:blip r:embed="rId10"/>
                    <a:stretch>
                      <a:fillRect/>
                    </a:stretch>
                  </pic:blipFill>
                  <pic:spPr>
                    <a:xfrm>
                      <a:off x="0" y="0"/>
                      <a:ext cx="5303520" cy="1708227"/>
                    </a:xfrm>
                    <a:prstGeom prst="rect"/>
                  </pic:spPr>
                </pic:pic>
              </a:graphicData>
            </a:graphic>
          </wp:inline>
        </w:drawing>
      </w:r>
    </w:p>
    <w:p>
      <w:pPr>
        <w:jc w:val="center"/>
      </w:pPr>
      <w:r>
        <w:rPr>
          <w:i/>
          <w:sz w:val="18"/>
        </w:rPr>
        <w:t>Figure - Validation empirique de la veille : XGBoost (PR-AUC 0,705) surpasse Random Forest (0,636) et regression logistique (0,361) sur notre cas d'usage tabulaire</w:t>
      </w:r>
    </w:p>
    <w:p>
      <w:pPr>
        <w:spacing w:after="120" w:line="300"/>
        <w:jc w:val="both"/>
      </w:pPr>
      <w:r>
        <w:rPr>
          <w:rFonts w:ascii="Calibri" w:cs="Calibri" w:eastAsia="Calibri" w:hAnsi="Calibri"/>
          <w:sz w:val="22"/>
          <w:szCs w:val="22"/>
        </w:rPr>
        <w:t xml:space="preserve">Les methodes de boosting gradient (XGBoost, LightGBM, CatBoost) dominent les competitions Kaggle et les retours d'experience industriels sur donnees tabulaires desequilibrees. Plusieurs raisons expliquent cette suprematie :</w:t>
      </w:r>
    </w:p>
    <w:p>
      <w:pPr>
        <w:pStyle w:val="ListParagraph"/>
        <w:numPr>
          <w:ilvl w:val="0"/>
          <w:numId w:val="2"/>
        </w:numPr>
        <w:spacing w:after="80" w:line="280"/>
      </w:pPr>
      <w:r>
        <w:rPr>
          <w:rFonts w:ascii="Calibri" w:cs="Calibri" w:eastAsia="Calibri" w:hAnsi="Calibri"/>
          <w:sz w:val="22"/>
          <w:szCs w:val="22"/>
        </w:rPr>
        <w:t xml:space="preserve">Capacite naturelle a gerer les relations non lineaires et les interactions entre variables.</w:t>
      </w:r>
    </w:p>
    <w:p>
      <w:pPr>
        <w:pStyle w:val="ListParagraph"/>
        <w:numPr>
          <w:ilvl w:val="0"/>
          <w:numId w:val="2"/>
        </w:numPr>
        <w:spacing w:after="80" w:line="280"/>
      </w:pPr>
      <w:r>
        <w:rPr>
          <w:rFonts w:ascii="Calibri" w:cs="Calibri" w:eastAsia="Calibri" w:hAnsi="Calibri"/>
          <w:sz w:val="22"/>
          <w:szCs w:val="22"/>
        </w:rPr>
        <w:t xml:space="preserve">Robustesse aux valeurs manquantes et aux outliers.</w:t>
      </w:r>
    </w:p>
    <w:p>
      <w:pPr>
        <w:pStyle w:val="ListParagraph"/>
        <w:numPr>
          <w:ilvl w:val="0"/>
          <w:numId w:val="2"/>
        </w:numPr>
        <w:spacing w:after="80" w:line="280"/>
      </w:pPr>
      <w:r>
        <w:rPr>
          <w:rFonts w:ascii="Calibri" w:cs="Calibri" w:eastAsia="Calibri" w:hAnsi="Calibri"/>
          <w:sz w:val="22"/>
          <w:szCs w:val="22"/>
        </w:rPr>
        <w:t xml:space="preserve">Parametres d'ajustement face au desequilibre de classe (scale_pos_weight).</w:t>
      </w:r>
    </w:p>
    <w:p>
      <w:pPr>
        <w:pStyle w:val="ListParagraph"/>
        <w:numPr>
          <w:ilvl w:val="0"/>
          <w:numId w:val="2"/>
        </w:numPr>
        <w:spacing w:after="80" w:line="280"/>
      </w:pPr>
      <w:r>
        <w:rPr>
          <w:rFonts w:ascii="Calibri" w:cs="Calibri" w:eastAsia="Calibri" w:hAnsi="Calibri"/>
          <w:sz w:val="22"/>
          <w:szCs w:val="22"/>
        </w:rPr>
        <w:t xml:space="preserve">Performance elevee avec un temps d'entrainement modere sur les volumes industriels.</w:t>
      </w:r>
    </w:p>
    <w:p>
      <w:pPr>
        <w:spacing w:after="120" w:line="300"/>
        <w:jc w:val="both"/>
      </w:pPr>
      <w:r>
        <w:rPr>
          <w:rFonts w:ascii="Calibri" w:cs="Calibri" w:eastAsia="Calibri" w:hAnsi="Calibri"/>
          <w:sz w:val="22"/>
          <w:szCs w:val="22"/>
        </w:rPr>
        <w:t xml:space="preserve">XGBoost (Extreme Gradient Boosting), developpe par Tianqi Chen, reste la reference de facto. LightGBM (Microsoft) et CatBoost (Yandex) apportent des optimisations complementaires : LightGBM excelle en rapidite d'entrainement (feuilles plutot que niveaux), CatBoost gere nativement les variables categorielles sans encodage explicite.</w:t>
      </w:r>
    </w:p>
    <w:p>
      <w:pPr>
        <w:pStyle w:val="Heading3"/>
        <w:spacing w:after="120" w:before="240"/>
      </w:pPr>
      <w:r>
        <w:rPr>
          <w:rFonts w:ascii="Calibri" w:cs="Calibri" w:eastAsia="Calibri" w:hAnsi="Calibri"/>
          <w:b/>
          <w:bCs/>
          <w:color w:val="1F3A5F"/>
          <w:sz w:val="22"/>
          <w:szCs w:val="22"/>
        </w:rPr>
        <w:t xml:space="preserve">2.1.2. Deep Learning sur tabulaire : pertinence relative</w:t>
      </w:r>
    </w:p>
    <w:p>
      <w:pPr>
        <w:spacing w:after="120" w:line="300"/>
        <w:jc w:val="both"/>
      </w:pPr>
      <w:r>
        <w:rPr>
          <w:rFonts w:ascii="Calibri" w:cs="Calibri" w:eastAsia="Calibri" w:hAnsi="Calibri"/>
          <w:sz w:val="22"/>
          <w:szCs w:val="22"/>
        </w:rPr>
        <w:t xml:space="preserve">Les reseaux de neurones profonds (TabNet, FT-Transformer, NODE) ont fait l'objet de nombreuses publications promettant de depasser les methodes de boosting. La realite empirique est plus nuancee : les etudes comparatives recentes (Borisov et al., 2022 ; Grinsztajn et al., 2022) montrent que le gradient boosting reste globalement superieur sur les problemes tabulaires classiques, sauf dans quelques cas de niche (tres grands volumes, interactions complexes).</w:t>
      </w:r>
    </w:p>
    <w:p>
      <w:pPr>
        <w:spacing w:after="120" w:line="300"/>
        <w:jc w:val="both"/>
      </w:pPr>
      <w:r>
        <w:rPr>
          <w:rFonts w:ascii="Calibri" w:cs="Calibri" w:eastAsia="Calibri" w:hAnsi="Calibri"/>
          <w:sz w:val="22"/>
          <w:szCs w:val="22"/>
        </w:rPr>
        <w:t xml:space="preserve">Pour MECHA, le choix du gradient boosting (XGBoost) est donc pertinent : rapport performance / complexite / maintenabilite optimal, interpretabilite preservee, ecosysteme mature.</w:t>
      </w:r>
    </w:p>
    <w:p>
      <w:pPr>
        <w:pStyle w:val="Heading3"/>
        <w:spacing w:after="120" w:before="240"/>
      </w:pPr>
      <w:r>
        <w:rPr>
          <w:rFonts w:ascii="Calibri" w:cs="Calibri" w:eastAsia="Calibri" w:hAnsi="Calibri"/>
          <w:b/>
          <w:bCs/>
          <w:color w:val="1F3A5F"/>
          <w:sz w:val="22"/>
          <w:szCs w:val="22"/>
        </w:rPr>
        <w:t xml:space="preserve">2.1.3. Methodes d'interpretabilite</w:t>
      </w:r>
    </w:p>
    <w:p>
      <w:pPr>
        <w:spacing w:after="120" w:line="300"/>
        <w:jc w:val="both"/>
      </w:pPr>
      <w:r>
        <w:rPr>
          <w:rFonts w:ascii="Calibri" w:cs="Calibri" w:eastAsia="Calibri" w:hAnsi="Calibri"/>
          <w:sz w:val="22"/>
          <w:szCs w:val="22"/>
        </w:rPr>
        <w:t xml:space="preserve">L'interpretabilite des modeles est devenue un enjeu cle en contexte industriel reglemente. Les techniques dominantes sont :</w:t>
      </w:r>
    </w:p>
    <w:p>
      <w:pPr>
        <w:pStyle w:val="ListParagraph"/>
        <w:numPr>
          <w:ilvl w:val="0"/>
          <w:numId w:val="2"/>
        </w:numPr>
        <w:spacing w:after="80" w:line="280"/>
      </w:pPr>
      <w:r>
        <w:rPr>
          <w:rFonts w:ascii="Calibri" w:cs="Calibri" w:eastAsia="Calibri" w:hAnsi="Calibri"/>
          <w:sz w:val="22"/>
          <w:szCs w:val="22"/>
        </w:rPr>
        <w:t xml:space="preserve">SHAP (Shapley Additive exPlanations) : reference scientifique pour l'explication locale et globale des predictions.</w:t>
      </w:r>
    </w:p>
    <w:p>
      <w:pPr>
        <w:pStyle w:val="ListParagraph"/>
        <w:numPr>
          <w:ilvl w:val="0"/>
          <w:numId w:val="2"/>
        </w:numPr>
        <w:spacing w:after="80" w:line="280"/>
      </w:pPr>
      <w:r>
        <w:rPr>
          <w:rFonts w:ascii="Calibri" w:cs="Calibri" w:eastAsia="Calibri" w:hAnsi="Calibri"/>
          <w:sz w:val="22"/>
          <w:szCs w:val="22"/>
        </w:rPr>
        <w:t xml:space="preserve">LIME (Local Interpretable Model-agnostic Explanations) : approche pragmatique pour expliquer une prediction individuelle.</w:t>
      </w:r>
    </w:p>
    <w:p>
      <w:pPr>
        <w:pStyle w:val="ListParagraph"/>
        <w:numPr>
          <w:ilvl w:val="0"/>
          <w:numId w:val="2"/>
        </w:numPr>
        <w:spacing w:after="80" w:line="280"/>
      </w:pPr>
      <w:r>
        <w:rPr>
          <w:rFonts w:ascii="Calibri" w:cs="Calibri" w:eastAsia="Calibri" w:hAnsi="Calibri"/>
          <w:sz w:val="22"/>
          <w:szCs w:val="22"/>
        </w:rPr>
        <w:t xml:space="preserve">Feature importance native des modeles d'arbres : explication globale simple et rapide.</w:t>
      </w:r>
    </w:p>
    <w:p>
      <w:pPr>
        <w:pStyle w:val="ListParagraph"/>
        <w:numPr>
          <w:ilvl w:val="0"/>
          <w:numId w:val="2"/>
        </w:numPr>
        <w:spacing w:after="80" w:line="280"/>
      </w:pPr>
      <w:r>
        <w:rPr>
          <w:rFonts w:ascii="Calibri" w:cs="Calibri" w:eastAsia="Calibri" w:hAnsi="Calibri"/>
          <w:sz w:val="22"/>
          <w:szCs w:val="22"/>
        </w:rPr>
        <w:t xml:space="preserve">Partial dependence plots : visualisation de l'effet marginal d'une variable.</w:t>
      </w:r>
    </w:p>
    <w:p>
      <w:pPr>
        <w:spacing w:after="120" w:line="300"/>
        <w:jc w:val="both"/>
      </w:pPr>
      <w:r>
        <w:rPr>
          <w:rFonts w:ascii="Calibri" w:cs="Calibri" w:eastAsia="Calibri" w:hAnsi="Calibri"/>
          <w:sz w:val="22"/>
          <w:szCs w:val="22"/>
        </w:rPr>
        <w:t xml:space="preserve">Pour une mise en production MECHA, l'integration de SHAP au dashboard permettrait d'expliquer chaque alerte predictive de maniere actionnable pour l'operateur (top 3 des facteurs contributifs).</w:t>
      </w:r>
    </w:p>
    <w:p>
      <w:pPr>
        <w:pStyle w:val="Heading2"/>
        <w:spacing w:after="160" w:before="300"/>
      </w:pPr>
      <w:r>
        <w:rPr>
          <w:rFonts w:ascii="Calibri" w:cs="Calibri" w:eastAsia="Calibri" w:hAnsi="Calibri"/>
          <w:b/>
          <w:bCs/>
          <w:color w:val="2E75B6"/>
          <w:sz w:val="26"/>
          <w:szCs w:val="26"/>
        </w:rPr>
        <w:t xml:space="preserve">2.2. MLOps : industrialisation des modeles</w:t>
      </w:r>
    </w:p>
    <w:p>
      <w:pPr>
        <w:spacing w:after="120" w:line="300"/>
        <w:jc w:val="both"/>
      </w:pPr>
      <w:r>
        <w:rPr>
          <w:rFonts w:ascii="Calibri" w:cs="Calibri" w:eastAsia="Calibri" w:hAnsi="Calibri"/>
          <w:sz w:val="22"/>
          <w:szCs w:val="22"/>
        </w:rPr>
        <w:t xml:space="preserve">Le MLOps (Machine Learning Operations) designe l'ensemble des pratiques d'industrialisation des modeles de machine learning. Il est devenu un domaine a part entiere, avec des outils dedies et des standards emergents.</w:t>
      </w:r>
    </w:p>
    <w:p>
      <w:pPr>
        <w:pStyle w:val="Heading3"/>
        <w:spacing w:after="120" w:before="240"/>
      </w:pPr>
      <w:r>
        <w:rPr>
          <w:rFonts w:ascii="Calibri" w:cs="Calibri" w:eastAsia="Calibri" w:hAnsi="Calibri"/>
          <w:b/>
          <w:bCs/>
          <w:color w:val="1F3A5F"/>
          <w:sz w:val="22"/>
          <w:szCs w:val="22"/>
        </w:rPr>
        <w:t xml:space="preserve">2.2.1. Stack MLOps de reference</w:t>
      </w:r>
    </w:p>
    <w:p>
      <w:pPr>
        <w:jc w:val="center"/>
      </w:pPr>
      <w:r>
        <w:drawing>
          <wp:inline xmlns:a="http://schemas.openxmlformats.org/drawingml/2006/main" xmlns:pic="http://schemas.openxmlformats.org/drawingml/2006/picture">
            <wp:extent cx="5303520" cy="1712852"/>
            <wp:docPr id="2" name="Picture 2"/>
            <wp:cNvGraphicFramePr>
              <a:graphicFrameLocks noChangeAspect="1"/>
            </wp:cNvGraphicFramePr>
            <a:graphic>
              <a:graphicData uri="http://schemas.openxmlformats.org/drawingml/2006/picture">
                <pic:pic>
                  <pic:nvPicPr>
                    <pic:cNvPr id="0" name="29_mlflow_runs_mecha.png"/>
                    <pic:cNvPicPr/>
                  </pic:nvPicPr>
                  <pic:blipFill>
                    <a:blip r:embed="rId11"/>
                    <a:stretch>
                      <a:fillRect/>
                    </a:stretch>
                  </pic:blipFill>
                  <pic:spPr>
                    <a:xfrm>
                      <a:off x="0" y="0"/>
                      <a:ext cx="5303520" cy="1712852"/>
                    </a:xfrm>
                    <a:prstGeom prst="rect"/>
                  </pic:spPr>
                </pic:pic>
              </a:graphicData>
            </a:graphic>
          </wp:inline>
        </w:drawing>
      </w:r>
    </w:p>
    <w:p>
      <w:pPr>
        <w:jc w:val="center"/>
      </w:pPr>
      <w:r>
        <w:rPr>
          <w:i/>
          <w:sz w:val="18"/>
        </w:rPr>
        <w:t>Figure - Application concrete de la stack MLOps : MLflow tracking integre au projet PoC, 12 runs enregistres pour trois algorithmes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2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Composant</w:t>
            </w:r>
          </w:p>
        </w:tc>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Outils reference</w:t>
            </w:r>
          </w:p>
        </w:tc>
        <w:tc>
          <w:tcPr>
            <w:tcW w:type="dxa" w:w="4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Role</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Tracking d'experimentations</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MLflow, Weights &amp; Biases, Neptune</w:t>
            </w:r>
          </w:p>
        </w:tc>
        <w:tc>
          <w:tcPr>
            <w:tcW w:type="dxa" w:w="42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Journaliser parametres, metriques, artefacts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Model registry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MLflow Registry, Sagemaker Registry</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Gestion du cycle de vie des modeles</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Feature store</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Feast, Tecton, Databricks Feature Store</w:t>
            </w:r>
          </w:p>
        </w:tc>
        <w:tc>
          <w:tcPr>
            <w:tcW w:type="dxa" w:w="42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Features partagees et versionnees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Orchestration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Airflow, Kubeflow, Dagster, Prefect</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Pipelines reproductibles</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Monitoring</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Evidently, WhyLabs, Arize</w:t>
            </w:r>
          </w:p>
        </w:tc>
        <w:tc>
          <w:tcPr>
            <w:tcW w:type="dxa" w:w="42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Suivi de drift et performance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Serving</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Seldon, BentoML, TorchServe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Deploiement des modeles en production</w:t>
            </w:r>
          </w:p>
        </w:tc>
      </w:tr>
    </w:tbl>
    <w:p>
      <w:pPr>
        <w:spacing w:after="200"/>
      </w:pPr>
      <w:r>
        <w:t xml:space="preserve"/>
      </w:r>
    </w:p>
    <w:p>
      <w:pPr>
        <w:spacing w:after="120" w:line="300"/>
        <w:jc w:val="both"/>
      </w:pPr>
      <w:r>
        <w:rPr>
          <w:rFonts w:ascii="Calibri" w:cs="Calibri" w:eastAsia="Calibri" w:hAnsi="Calibri"/>
          <w:sz w:val="22"/>
          <w:szCs w:val="22"/>
        </w:rPr>
        <w:t xml:space="preserve">MLflow, retenu dans le PoC, presente un excellent rapport fonctionnalite / simplicite pour un projet de cette taille. Il pourra etre complete en phase pilote par Airflow (orchestration) et Evidently (monitoring de drift).</w:t>
      </w:r>
    </w:p>
    <w:p>
      <w:pPr>
        <w:pStyle w:val="Heading3"/>
        <w:spacing w:after="120" w:before="240"/>
      </w:pPr>
      <w:r>
        <w:rPr>
          <w:rFonts w:ascii="Calibri" w:cs="Calibri" w:eastAsia="Calibri" w:hAnsi="Calibri"/>
          <w:b/>
          <w:bCs/>
          <w:color w:val="1F3A5F"/>
          <w:sz w:val="22"/>
          <w:szCs w:val="22"/>
        </w:rPr>
        <w:t xml:space="preserve">2.2.2. Reproductibilite et versionnement</w:t>
      </w:r>
    </w:p>
    <w:p>
      <w:pPr>
        <w:spacing w:after="120" w:line="300"/>
        <w:jc w:val="both"/>
      </w:pPr>
      <w:r>
        <w:rPr>
          <w:rFonts w:ascii="Calibri" w:cs="Calibri" w:eastAsia="Calibri" w:hAnsi="Calibri"/>
          <w:sz w:val="22"/>
          <w:szCs w:val="22"/>
        </w:rPr>
        <w:t xml:space="preserve">La reproductibilite scientifique est un prerequis en MLOps. Les outils cles :</w:t>
      </w:r>
    </w:p>
    <w:p>
      <w:pPr>
        <w:pStyle w:val="ListParagraph"/>
        <w:numPr>
          <w:ilvl w:val="0"/>
          <w:numId w:val="2"/>
        </w:numPr>
        <w:spacing w:after="80" w:line="280"/>
      </w:pPr>
      <w:r>
        <w:rPr>
          <w:rFonts w:ascii="Calibri" w:cs="Calibri" w:eastAsia="Calibri" w:hAnsi="Calibri"/>
          <w:sz w:val="22"/>
          <w:szCs w:val="22"/>
        </w:rPr>
        <w:t xml:space="preserve">DVC (Data Version Control) : versionnement des jeux de donnees compatible git.</w:t>
      </w:r>
    </w:p>
    <w:p>
      <w:pPr>
        <w:pStyle w:val="ListParagraph"/>
        <w:numPr>
          <w:ilvl w:val="0"/>
          <w:numId w:val="2"/>
        </w:numPr>
        <w:spacing w:after="80" w:line="280"/>
      </w:pPr>
      <w:r>
        <w:rPr>
          <w:rFonts w:ascii="Calibri" w:cs="Calibri" w:eastAsia="Calibri" w:hAnsi="Calibri"/>
          <w:sz w:val="22"/>
          <w:szCs w:val="22"/>
        </w:rPr>
        <w:t xml:space="preserve">Git : versionnement du code, branches, pull requests.</w:t>
      </w:r>
    </w:p>
    <w:p>
      <w:pPr>
        <w:pStyle w:val="ListParagraph"/>
        <w:numPr>
          <w:ilvl w:val="0"/>
          <w:numId w:val="2"/>
        </w:numPr>
        <w:spacing w:after="80" w:line="280"/>
      </w:pPr>
      <w:r>
        <w:rPr>
          <w:rFonts w:ascii="Calibri" w:cs="Calibri" w:eastAsia="Calibri" w:hAnsi="Calibri"/>
          <w:sz w:val="22"/>
          <w:szCs w:val="22"/>
        </w:rPr>
        <w:t xml:space="preserve">uv / pip-tools / poetry : gestion reproductible des dependances Python.</w:t>
      </w:r>
    </w:p>
    <w:p>
      <w:pPr>
        <w:pStyle w:val="ListParagraph"/>
        <w:numPr>
          <w:ilvl w:val="0"/>
          <w:numId w:val="2"/>
        </w:numPr>
        <w:spacing w:after="80" w:line="280"/>
      </w:pPr>
      <w:r>
        <w:rPr>
          <w:rFonts w:ascii="Calibri" w:cs="Calibri" w:eastAsia="Calibri" w:hAnsi="Calibri"/>
          <w:sz w:val="22"/>
          <w:szCs w:val="22"/>
        </w:rPr>
        <w:t xml:space="preserve">Docker : conteneurisation de l'environnement d'execution.</w:t>
      </w:r>
    </w:p>
    <w:p>
      <w:pPr>
        <w:pStyle w:val="Heading2"/>
        <w:spacing w:after="160" w:before="300"/>
      </w:pPr>
      <w:r>
        <w:rPr>
          <w:rFonts w:ascii="Calibri" w:cs="Calibri" w:eastAsia="Calibri" w:hAnsi="Calibri"/>
          <w:b/>
          <w:bCs/>
          <w:color w:val="2E75B6"/>
          <w:sz w:val="26"/>
          <w:szCs w:val="26"/>
        </w:rPr>
        <w:t xml:space="preserve">2.3. Evolutions a surveiller</w:t>
      </w:r>
    </w:p>
    <w:p>
      <w:pPr>
        <w:pStyle w:val="ListParagraph"/>
        <w:numPr>
          <w:ilvl w:val="0"/>
          <w:numId w:val="2"/>
        </w:numPr>
        <w:spacing w:after="80" w:line="280"/>
      </w:pPr>
      <w:r>
        <w:rPr>
          <w:rFonts w:ascii="Calibri" w:cs="Calibri" w:eastAsia="Calibri" w:hAnsi="Calibri"/>
          <w:sz w:val="22"/>
          <w:szCs w:val="22"/>
        </w:rPr>
        <w:t xml:space="preserve">Modeles de fondation tabulaires (TabPFN, prior-fitted networks) : approche prometteuse mais encore jeune.</w:t>
      </w:r>
    </w:p>
    <w:p>
      <w:pPr>
        <w:pStyle w:val="ListParagraph"/>
        <w:numPr>
          <w:ilvl w:val="0"/>
          <w:numId w:val="2"/>
        </w:numPr>
        <w:spacing w:after="80" w:line="280"/>
      </w:pPr>
      <w:r>
        <w:rPr>
          <w:rFonts w:ascii="Calibri" w:cs="Calibri" w:eastAsia="Calibri" w:hAnsi="Calibri"/>
          <w:sz w:val="22"/>
          <w:szCs w:val="22"/>
        </w:rPr>
        <w:t xml:space="preserve">AutoML : Auto-sklearn, H2O.ai AutoML, FLAML pour automatiser la selection de modeles.</w:t>
      </w:r>
    </w:p>
    <w:p>
      <w:pPr>
        <w:pStyle w:val="ListParagraph"/>
        <w:numPr>
          <w:ilvl w:val="0"/>
          <w:numId w:val="2"/>
        </w:numPr>
        <w:spacing w:after="80" w:line="280"/>
      </w:pPr>
      <w:r>
        <w:rPr>
          <w:rFonts w:ascii="Calibri" w:cs="Calibri" w:eastAsia="Calibri" w:hAnsi="Calibri"/>
          <w:sz w:val="22"/>
          <w:szCs w:val="22"/>
        </w:rPr>
        <w:t xml:space="preserve">LLMs pour la BI : generation de requetes SQL en langage naturel, resume automatique de dashboards.</w:t>
      </w:r>
    </w:p>
    <w:p>
      <w:pPr>
        <w:pStyle w:val="ListParagraph"/>
        <w:numPr>
          <w:ilvl w:val="0"/>
          <w:numId w:val="2"/>
        </w:numPr>
        <w:spacing w:after="80" w:line="280"/>
      </w:pPr>
      <w:r>
        <w:rPr>
          <w:rFonts w:ascii="Calibri" w:cs="Calibri" w:eastAsia="Calibri" w:hAnsi="Calibri"/>
          <w:sz w:val="22"/>
          <w:szCs w:val="22"/>
        </w:rPr>
        <w:t xml:space="preserve">Quantum ML : horizon long terme, monitoring requis.</w:t>
      </w:r>
    </w:p>
    <w:p>
      <w:pPr>
        <w:pStyle w:val="Heading1"/>
        <w:pageBreakBefore/>
        <w:spacing w:after="240" w:before="360"/>
      </w:pPr>
      <w:r>
        <w:rPr>
          <w:rFonts w:ascii="Calibri" w:cs="Calibri" w:eastAsia="Calibri" w:hAnsi="Calibri"/>
          <w:b/>
          <w:bCs/>
          <w:color w:val="1F3A5F"/>
          <w:sz w:val="32"/>
          <w:szCs w:val="32"/>
        </w:rPr>
        <w:t xml:space="preserve">3. Volet Business Intelligence et data platforms</w:t>
      </w:r>
    </w:p>
    <w:p>
      <w:pPr>
        <w:pStyle w:val="Heading2"/>
        <w:spacing w:after="160" w:before="300"/>
      </w:pPr>
      <w:r>
        <w:rPr>
          <w:rFonts w:ascii="Calibri" w:cs="Calibri" w:eastAsia="Calibri" w:hAnsi="Calibri"/>
          <w:b/>
          <w:bCs/>
          <w:color w:val="2E75B6"/>
          <w:sz w:val="26"/>
          <w:szCs w:val="26"/>
        </w:rPr>
        <w:t xml:space="preserve">3.1. Architecture de donnees moderne : du data warehouse au lakehouse</w:t>
      </w:r>
    </w:p>
    <w:p>
      <w:pPr>
        <w:spacing w:after="120" w:line="300"/>
        <w:jc w:val="both"/>
      </w:pPr>
      <w:r>
        <w:rPr>
          <w:rFonts w:ascii="Calibri" w:cs="Calibri" w:eastAsia="Calibri" w:hAnsi="Calibri"/>
          <w:sz w:val="22"/>
          <w:szCs w:val="22"/>
        </w:rPr>
        <w:t xml:space="preserve">L'evolution des architectures de donnees sur la derniere decennie suit une trajectoire claire : du data warehouse traditionnel (annees 1990), vers le data lake (annees 2010), vers l'architecture lakehouse (annees 2020) qui combine les forces des deux paradigmes.</w:t>
      </w:r>
    </w:p>
    <w:p>
      <w:pPr>
        <w:pStyle w:val="Heading3"/>
        <w:spacing w:after="120" w:before="240"/>
      </w:pPr>
      <w:r>
        <w:rPr>
          <w:rFonts w:ascii="Calibri" w:cs="Calibri" w:eastAsia="Calibri" w:hAnsi="Calibri"/>
          <w:b/>
          <w:bCs/>
          <w:color w:val="1F3A5F"/>
          <w:sz w:val="22"/>
          <w:szCs w:val="22"/>
        </w:rPr>
        <w:t xml:space="preserve">3.1.1. L'architecture lakehouse</w:t>
      </w:r>
    </w:p>
    <w:p>
      <w:pPr>
        <w:spacing w:after="120" w:line="300"/>
        <w:jc w:val="both"/>
      </w:pPr>
      <w:r>
        <w:rPr>
          <w:rFonts w:ascii="Calibri" w:cs="Calibri" w:eastAsia="Calibri" w:hAnsi="Calibri"/>
          <w:sz w:val="22"/>
          <w:szCs w:val="22"/>
        </w:rPr>
        <w:t xml:space="preserve">Le concept de lakehouse, popularise par Databricks (Armbrust et al., 2020), repose sur trois principes :</w:t>
      </w:r>
    </w:p>
    <w:p>
      <w:pPr>
        <w:pStyle w:val="ListParagraph"/>
        <w:numPr>
          <w:ilvl w:val="0"/>
          <w:numId w:val="2"/>
        </w:numPr>
        <w:spacing w:after="80" w:line="280"/>
      </w:pPr>
      <w:r>
        <w:rPr>
          <w:rFonts w:ascii="Calibri" w:cs="Calibri" w:eastAsia="Calibri" w:hAnsi="Calibri"/>
          <w:sz w:val="22"/>
          <w:szCs w:val="22"/>
        </w:rPr>
        <w:t xml:space="preserve">Stockage unique en format ouvert (Parquet, Iceberg, Delta Lake) plutot que silos dupliques.</w:t>
      </w:r>
    </w:p>
    <w:p>
      <w:pPr>
        <w:pStyle w:val="ListParagraph"/>
        <w:numPr>
          <w:ilvl w:val="0"/>
          <w:numId w:val="2"/>
        </w:numPr>
        <w:spacing w:after="80" w:line="280"/>
      </w:pPr>
      <w:r>
        <w:rPr>
          <w:rFonts w:ascii="Calibri" w:cs="Calibri" w:eastAsia="Calibri" w:hAnsi="Calibri"/>
          <w:sz w:val="22"/>
          <w:szCs w:val="22"/>
        </w:rPr>
        <w:t xml:space="preserve">Couches logiques en medaille (bronze, silver, gold) pour organiser le raffinement progressif.</w:t>
      </w:r>
    </w:p>
    <w:p>
      <w:pPr>
        <w:pStyle w:val="ListParagraph"/>
        <w:numPr>
          <w:ilvl w:val="0"/>
          <w:numId w:val="2"/>
        </w:numPr>
        <w:spacing w:after="80" w:line="280"/>
      </w:pPr>
      <w:r>
        <w:rPr>
          <w:rFonts w:ascii="Calibri" w:cs="Calibri" w:eastAsia="Calibri" w:hAnsi="Calibri"/>
          <w:sz w:val="22"/>
          <w:szCs w:val="22"/>
        </w:rPr>
        <w:t xml:space="preserve">Moteur de requetage unifie pour le BI et le ML a partir du meme stockage.</w:t>
      </w:r>
    </w:p>
    <w:p>
      <w:pPr>
        <w:spacing w:after="120" w:line="300"/>
        <w:jc w:val="both"/>
      </w:pPr>
      <w:r>
        <w:rPr>
          <w:rFonts w:ascii="Calibri" w:cs="Calibri" w:eastAsia="Calibri" w:hAnsi="Calibri"/>
          <w:sz w:val="22"/>
          <w:szCs w:val="22"/>
        </w:rPr>
        <w:t xml:space="preserve">Cette architecture est adoptee au PoC MECHA a echelle reduite : stockage Parquet, couches medaille, DuckDB comme moteur. La montee a l'echelle de l'architecture pourrait passer par Apache Iceberg et Trino ou par Databricks.</w:t>
      </w:r>
    </w:p>
    <w:p>
      <w:pPr>
        <w:pStyle w:val="Heading3"/>
        <w:spacing w:after="120" w:before="240"/>
      </w:pPr>
      <w:r>
        <w:rPr>
          <w:rFonts w:ascii="Calibri" w:cs="Calibri" w:eastAsia="Calibri" w:hAnsi="Calibri"/>
          <w:b/>
          <w:bCs/>
          <w:color w:val="1F3A5F"/>
          <w:sz w:val="22"/>
          <w:szCs w:val="22"/>
        </w:rPr>
        <w:t xml:space="preserve">3.1.2. Format de table ouverts : Iceberg, Delta, Hudi</w:t>
      </w:r>
    </w:p>
    <w:p>
      <w:pPr>
        <w:spacing w:after="120" w:line="300"/>
        <w:jc w:val="both"/>
      </w:pPr>
      <w:r>
        <w:rPr>
          <w:rFonts w:ascii="Calibri" w:cs="Calibri" w:eastAsia="Calibri" w:hAnsi="Calibri"/>
          <w:sz w:val="22"/>
          <w:szCs w:val="22"/>
        </w:rPr>
        <w:t xml:space="preserve">Les formats de table ouverts apportent la transactionnalite, le voyage dans le temps et la gestion du schema au monde des data lakes. Trois formats dominent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4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Format</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Promoteur</w:t>
            </w:r>
          </w:p>
        </w:tc>
        <w:tc>
          <w:tcPr>
            <w:tcW w:type="dxa" w:w="4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Points forts</w:t>
            </w:r>
          </w:p>
        </w:tc>
      </w:tr>
      <w:tr>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Apache Iceberg</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Netflix, AWS, Snowflake</w:t>
            </w:r>
          </w:p>
        </w:tc>
        <w:tc>
          <w:tcPr>
            <w:tcW w:type="dxa" w:w="4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Ouvert, adoption large, multi-engine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Delta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Databricks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Mature, integre avec Spark, bonne gouvernance</w:t>
            </w:r>
          </w:p>
        </w:tc>
      </w:tr>
      <w:tr>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Apache Hudi</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Uber</w:t>
            </w:r>
          </w:p>
        </w:tc>
        <w:tc>
          <w:tcPr>
            <w:tcW w:type="dxa" w:w="4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Adapte aux ingestion incrementales et upsert</w:t>
            </w:r>
          </w:p>
        </w:tc>
      </w:tr>
    </w:tbl>
    <w:p>
      <w:pPr>
        <w:spacing w:after="200"/>
      </w:pPr>
      <w:r>
        <w:t xml:space="preserve"/>
      </w:r>
    </w:p>
    <w:p>
      <w:pPr>
        <w:spacing w:after="120" w:line="300"/>
        <w:jc w:val="both"/>
      </w:pPr>
      <w:r>
        <w:rPr>
          <w:rFonts w:ascii="Calibri" w:cs="Calibri" w:eastAsia="Calibri" w:hAnsi="Calibri"/>
          <w:sz w:val="22"/>
          <w:szCs w:val="22"/>
        </w:rPr>
        <w:t xml:space="preserve">Pour MECHA, le passage a Iceberg est recommandable en phase 2 si le volume depasse ce que DuckDB peut traiter confortablement (au-dela de 100 Go compresses).</w:t>
      </w:r>
    </w:p>
    <w:p>
      <w:pPr>
        <w:pStyle w:val="Heading2"/>
        <w:spacing w:after="160" w:before="300"/>
      </w:pPr>
      <w:r>
        <w:rPr>
          <w:rFonts w:ascii="Calibri" w:cs="Calibri" w:eastAsia="Calibri" w:hAnsi="Calibri"/>
          <w:b/>
          <w:bCs/>
          <w:color w:val="2E75B6"/>
          <w:sz w:val="26"/>
          <w:szCs w:val="26"/>
        </w:rPr>
        <w:t xml:space="preserve">3.2. Outils de restitution et dashboarding</w:t>
      </w:r>
    </w:p>
    <w:p>
      <w:pPr>
        <w:pStyle w:val="Heading3"/>
        <w:spacing w:after="120" w:before="240"/>
      </w:pPr>
      <w:r>
        <w:rPr>
          <w:rFonts w:ascii="Calibri" w:cs="Calibri" w:eastAsia="Calibri" w:hAnsi="Calibri"/>
          <w:b/>
          <w:bCs/>
          <w:color w:val="1F3A5F"/>
          <w:sz w:val="22"/>
          <w:szCs w:val="22"/>
        </w:rPr>
        <w:t xml:space="preserve">3.2.1. Panorama des outils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1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Categorie</w:t>
            </w:r>
          </w:p>
        </w:tc>
        <w:tc>
          <w:tcPr>
            <w:tcW w:type="dxa" w:w="3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Outils</w:t>
            </w:r>
          </w:p>
        </w:tc>
        <w:tc>
          <w:tcPr>
            <w:tcW w:type="dxa" w:w="3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Positionnement</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 traditionnels</w:t>
            </w:r>
          </w:p>
        </w:tc>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Power BI, Tableau, Looker, Qlik Sense</w:t>
            </w:r>
          </w:p>
        </w:tc>
        <w:tc>
          <w:tcPr>
            <w:tcW w:type="dxa" w:w="3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Utilisateurs metier, drag-and-drop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 modernes cloud-first</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Metabase, Superset, Mode Analytics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Flexibles, souvent open source</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Apps data developer-first</w:t>
            </w:r>
          </w:p>
        </w:tc>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Streamlit, Dash, Gradio, Observable</w:t>
            </w:r>
          </w:p>
        </w:tc>
        <w:tc>
          <w:tcPr>
            <w:tcW w:type="dxa" w:w="3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Developpeurs, apps sur mesure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Notebooks collaboratifs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Hex, Noteable, Deepnote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 scientists, analyse et sharing</w:t>
            </w:r>
          </w:p>
        </w:tc>
      </w:tr>
    </w:tbl>
    <w:p>
      <w:pPr>
        <w:spacing w:after="200"/>
      </w:pPr>
      <w:r>
        <w:t xml:space="preserve"/>
      </w:r>
    </w:p>
    <w:p>
      <w:pPr>
        <w:spacing w:after="120" w:line="300"/>
        <w:jc w:val="both"/>
      </w:pPr>
      <w:r>
        <w:rPr>
          <w:rFonts w:ascii="Calibri" w:cs="Calibri" w:eastAsia="Calibri" w:hAnsi="Calibri"/>
          <w:sz w:val="22"/>
          <w:szCs w:val="22"/>
        </w:rPr>
        <w:t xml:space="preserve">Streamlit (retenu pour le PoC) est positionne sur le segment des applications data sur mesure. Ses atouts : developpement tres rapide en Python pur, integration native avec l'ecosysteme scientifique, ideal pour les PoC et les apps internes. Ses limites : moins adapte aux tres grosses audiences utilisateurs et a la gouvernance multi-tenant complexe.</w:t>
      </w:r>
    </w:p>
    <w:p>
      <w:pPr>
        <w:spacing w:after="120" w:line="300"/>
        <w:jc w:val="both"/>
      </w:pPr>
      <w:r>
        <w:rPr>
          <w:rFonts w:ascii="Calibri" w:cs="Calibri" w:eastAsia="Calibri" w:hAnsi="Calibri"/>
          <w:sz w:val="22"/>
          <w:szCs w:val="22"/>
        </w:rPr>
        <w:t xml:space="preserve">Pour un deploiement multi-usine a 100+ utilisateurs, la migration vers Power BI (si MECHA utilise deja Microsoft 365) ou Metabase (open source, self-hosted) serait a evaluer en phase 2.</w:t>
      </w:r>
    </w:p>
    <w:p>
      <w:pPr>
        <w:pStyle w:val="Heading3"/>
        <w:spacing w:after="120" w:before="240"/>
      </w:pPr>
      <w:r>
        <w:rPr>
          <w:rFonts w:ascii="Calibri" w:cs="Calibri" w:eastAsia="Calibri" w:hAnsi="Calibri"/>
          <w:b/>
          <w:bCs/>
          <w:color w:val="1F3A5F"/>
          <w:sz w:val="22"/>
          <w:szCs w:val="22"/>
        </w:rPr>
        <w:t xml:space="preserve">3.2.2. Principes de data visualization</w:t>
      </w:r>
    </w:p>
    <w:p>
      <w:pPr>
        <w:spacing w:after="120" w:line="300"/>
        <w:jc w:val="both"/>
      </w:pPr>
      <w:r>
        <w:rPr>
          <w:rFonts w:ascii="Calibri" w:cs="Calibri" w:eastAsia="Calibri" w:hAnsi="Calibri"/>
          <w:sz w:val="22"/>
          <w:szCs w:val="22"/>
        </w:rPr>
        <w:t xml:space="preserve">La qualite d'un dashboard depasse largement le choix de l'outil. Les principes fondamentaux, formalises notamment par Edward Tufte et Stephen Few, restent :</w:t>
      </w:r>
    </w:p>
    <w:p>
      <w:pPr>
        <w:pStyle w:val="ListParagraph"/>
        <w:numPr>
          <w:ilvl w:val="0"/>
          <w:numId w:val="2"/>
        </w:numPr>
        <w:spacing w:after="80" w:line="280"/>
      </w:pPr>
      <w:r>
        <w:rPr>
          <w:rFonts w:ascii="Calibri" w:cs="Calibri" w:eastAsia="Calibri" w:hAnsi="Calibri"/>
          <w:sz w:val="22"/>
          <w:szCs w:val="22"/>
        </w:rPr>
        <w:t xml:space="preserve">Minimiser le data-ink ratio : supprimer tout ce qui ne porte pas d'information.</w:t>
      </w:r>
    </w:p>
    <w:p>
      <w:pPr>
        <w:pStyle w:val="ListParagraph"/>
        <w:numPr>
          <w:ilvl w:val="0"/>
          <w:numId w:val="2"/>
        </w:numPr>
        <w:spacing w:after="80" w:line="280"/>
      </w:pPr>
      <w:r>
        <w:rPr>
          <w:rFonts w:ascii="Calibri" w:cs="Calibri" w:eastAsia="Calibri" w:hAnsi="Calibri"/>
          <w:sz w:val="22"/>
          <w:szCs w:val="22"/>
        </w:rPr>
        <w:t xml:space="preserve">Choisir le bon graphique pour le bon message (Stephen Few : graphs pour tendances, tables pour precision).</w:t>
      </w:r>
    </w:p>
    <w:p>
      <w:pPr>
        <w:pStyle w:val="ListParagraph"/>
        <w:numPr>
          <w:ilvl w:val="0"/>
          <w:numId w:val="2"/>
        </w:numPr>
        <w:spacing w:after="80" w:line="280"/>
      </w:pPr>
      <w:r>
        <w:rPr>
          <w:rFonts w:ascii="Calibri" w:cs="Calibri" w:eastAsia="Calibri" w:hAnsi="Calibri"/>
          <w:sz w:val="22"/>
          <w:szCs w:val="22"/>
        </w:rPr>
        <w:t xml:space="preserve">Hierarchie visuelle claire : les KPI cles en haut, les details en dessous.</w:t>
      </w:r>
    </w:p>
    <w:p>
      <w:pPr>
        <w:pStyle w:val="ListParagraph"/>
        <w:numPr>
          <w:ilvl w:val="0"/>
          <w:numId w:val="2"/>
        </w:numPr>
        <w:spacing w:after="80" w:line="280"/>
      </w:pPr>
      <w:r>
        <w:rPr>
          <w:rFonts w:ascii="Calibri" w:cs="Calibri" w:eastAsia="Calibri" w:hAnsi="Calibri"/>
          <w:sz w:val="22"/>
          <w:szCs w:val="22"/>
        </w:rPr>
        <w:t xml:space="preserve">Interactivite raisonnee : filtres accessibles mais non surcharges.</w:t>
      </w:r>
    </w:p>
    <w:p>
      <w:pPr>
        <w:pStyle w:val="ListParagraph"/>
        <w:numPr>
          <w:ilvl w:val="0"/>
          <w:numId w:val="2"/>
        </w:numPr>
        <w:spacing w:after="80" w:line="280"/>
      </w:pPr>
      <w:r>
        <w:rPr>
          <w:rFonts w:ascii="Calibri" w:cs="Calibri" w:eastAsia="Calibri" w:hAnsi="Calibri"/>
          <w:sz w:val="22"/>
          <w:szCs w:val="22"/>
        </w:rPr>
        <w:t xml:space="preserve">Adapter aux personas utilisateurs (direction / site / terrain).</w:t>
      </w:r>
    </w:p>
    <w:p>
      <w:pPr>
        <w:pStyle w:val="Heading2"/>
        <w:spacing w:after="160" w:before="300"/>
      </w:pPr>
      <w:r>
        <w:rPr>
          <w:rFonts w:ascii="Calibri" w:cs="Calibri" w:eastAsia="Calibri" w:hAnsi="Calibri"/>
          <w:b/>
          <w:bCs/>
          <w:color w:val="2E75B6"/>
          <w:sz w:val="26"/>
          <w:szCs w:val="26"/>
        </w:rPr>
        <w:t xml:space="preserve">3.3. Moteurs analytiques nouvelle generation</w:t>
      </w:r>
    </w:p>
    <w:p>
      <w:pPr>
        <w:spacing w:after="120" w:line="300"/>
        <w:jc w:val="both"/>
      </w:pPr>
      <w:r>
        <w:rPr>
          <w:rFonts w:ascii="Calibri" w:cs="Calibri" w:eastAsia="Calibri" w:hAnsi="Calibri"/>
          <w:sz w:val="22"/>
          <w:szCs w:val="22"/>
        </w:rPr>
        <w:t xml:space="preserve">Au-dela de DuckDB (retenu au PoC), plusieurs moteurs analytiques meritent attention en fonction de l'echelle cible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9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Moteur</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Profil</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Adaptation MECHA</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DuckDB</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Embarque, SQL standard, colonnaire</w:t>
            </w:r>
          </w:p>
        </w:tc>
        <w:tc>
          <w:tcPr>
            <w:tcW w:type="dxa" w:w="3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Ideal PoC et apps mono-usine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ClickHouse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Open source, haute performance, petabyte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Pertinent si scale-out necessaire</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Apache DataFusion</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Rust, performant, natif Arrow</w:t>
            </w:r>
          </w:p>
        </w:tc>
        <w:tc>
          <w:tcPr>
            <w:tcW w:type="dxa" w:w="3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Innovant, ecosysteme en croissance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Snowflake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Cloud managed, separation stockage/calcul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Plateforme entreprise cible phase 2</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Databricks SQL</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Managed, integre ML et BI</w:t>
            </w:r>
          </w:p>
        </w:tc>
        <w:tc>
          <w:tcPr>
            <w:tcW w:type="dxa" w:w="3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Plateforme entreprise cible phase 2</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BigQuery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Managed Google Cloud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Alternative cloud</w:t>
            </w:r>
          </w:p>
        </w:tc>
      </w:tr>
    </w:tbl>
    <w:p>
      <w:pPr>
        <w:pStyle w:val="Heading1"/>
        <w:pageBreakBefore/>
        <w:spacing w:after="240" w:before="360"/>
      </w:pPr>
      <w:r>
        <w:rPr>
          <w:rFonts w:ascii="Calibri" w:cs="Calibri" w:eastAsia="Calibri" w:hAnsi="Calibri"/>
          <w:b/>
          <w:bCs/>
          <w:color w:val="1F3A5F"/>
          <w:sz w:val="32"/>
          <w:szCs w:val="32"/>
        </w:rPr>
        <w:t xml:space="preserve">4. Volet reglementaire et ethique</w:t>
      </w:r>
    </w:p>
    <w:p>
      <w:pPr>
        <w:pStyle w:val="Heading2"/>
        <w:spacing w:after="160" w:before="300"/>
      </w:pPr>
      <w:r>
        <w:rPr>
          <w:rFonts w:ascii="Calibri" w:cs="Calibri" w:eastAsia="Calibri" w:hAnsi="Calibri"/>
          <w:b/>
          <w:bCs/>
          <w:color w:val="2E75B6"/>
          <w:sz w:val="26"/>
          <w:szCs w:val="26"/>
        </w:rPr>
        <w:t xml:space="preserve">4.1. RGPD et donnees industrielles</w:t>
      </w:r>
    </w:p>
    <w:p>
      <w:pPr>
        <w:spacing w:after="120" w:line="300"/>
        <w:jc w:val="both"/>
      </w:pPr>
      <w:r>
        <w:rPr>
          <w:rFonts w:ascii="Calibri" w:cs="Calibri" w:eastAsia="Calibri" w:hAnsi="Calibri"/>
          <w:sz w:val="22"/>
          <w:szCs w:val="22"/>
        </w:rPr>
        <w:t xml:space="preserve">Le Reglement General sur la Protection des Donnees (UE 2016/679), entre en application le 25 mai 2018, est le cadre de reference europeen. Son application aux donnees industrielles appelle plusieurs points d'attention :</w:t>
      </w:r>
    </w:p>
    <w:p>
      <w:pPr>
        <w:pStyle w:val="Heading3"/>
        <w:spacing w:after="120" w:before="240"/>
      </w:pPr>
      <w:r>
        <w:rPr>
          <w:rFonts w:ascii="Calibri" w:cs="Calibri" w:eastAsia="Calibri" w:hAnsi="Calibri"/>
          <w:b/>
          <w:bCs/>
          <w:color w:val="1F3A5F"/>
          <w:sz w:val="22"/>
          <w:szCs w:val="22"/>
        </w:rPr>
        <w:t xml:space="preserve">4.1.1. Donnees personnelles dans l'industrie</w:t>
      </w:r>
    </w:p>
    <w:p>
      <w:pPr>
        <w:spacing w:after="120" w:line="300"/>
        <w:jc w:val="both"/>
      </w:pPr>
      <w:r>
        <w:rPr>
          <w:rFonts w:ascii="Calibri" w:cs="Calibri" w:eastAsia="Calibri" w:hAnsi="Calibri"/>
          <w:sz w:val="22"/>
          <w:szCs w:val="22"/>
        </w:rPr>
        <w:t xml:space="preserve">Dans un contexte industriel, les donnees a caractere personnel potentiellement concernees sont :</w:t>
      </w:r>
    </w:p>
    <w:p>
      <w:pPr>
        <w:pStyle w:val="ListParagraph"/>
        <w:numPr>
          <w:ilvl w:val="0"/>
          <w:numId w:val="2"/>
        </w:numPr>
        <w:spacing w:after="80" w:line="280"/>
      </w:pPr>
      <w:r>
        <w:rPr>
          <w:rFonts w:ascii="Calibri" w:cs="Calibri" w:eastAsia="Calibri" w:hAnsi="Calibri"/>
          <w:sz w:val="22"/>
          <w:szCs w:val="22"/>
        </w:rPr>
        <w:t xml:space="preserve">Identifiants operateurs lors des ecritures d'events MES (qui a valide quelle piece, a quel moment).</w:t>
      </w:r>
    </w:p>
    <w:p>
      <w:pPr>
        <w:pStyle w:val="ListParagraph"/>
        <w:numPr>
          <w:ilvl w:val="0"/>
          <w:numId w:val="2"/>
        </w:numPr>
        <w:spacing w:after="80" w:line="280"/>
      </w:pPr>
      <w:r>
        <w:rPr>
          <w:rFonts w:ascii="Calibri" w:cs="Calibri" w:eastAsia="Calibri" w:hAnsi="Calibri"/>
          <w:sz w:val="22"/>
          <w:szCs w:val="22"/>
        </w:rPr>
        <w:t xml:space="preserve">Logs d'acces aux interfaces de supervision (qui a consulte quel dashboard, quand).</w:t>
      </w:r>
    </w:p>
    <w:p>
      <w:pPr>
        <w:pStyle w:val="ListParagraph"/>
        <w:numPr>
          <w:ilvl w:val="0"/>
          <w:numId w:val="2"/>
        </w:numPr>
        <w:spacing w:after="80" w:line="280"/>
      </w:pPr>
      <w:r>
        <w:rPr>
          <w:rFonts w:ascii="Calibri" w:cs="Calibri" w:eastAsia="Calibri" w:hAnsi="Calibri"/>
          <w:sz w:val="22"/>
          <w:szCs w:val="22"/>
        </w:rPr>
        <w:t xml:space="preserve">Donnees biometriques potentielles (pointeuse, capteurs de surveillance de zone dangereuse).</w:t>
      </w:r>
    </w:p>
    <w:p>
      <w:pPr>
        <w:pStyle w:val="ListParagraph"/>
        <w:numPr>
          <w:ilvl w:val="0"/>
          <w:numId w:val="2"/>
        </w:numPr>
        <w:spacing w:after="80" w:line="280"/>
      </w:pPr>
      <w:r>
        <w:rPr>
          <w:rFonts w:ascii="Calibri" w:cs="Calibri" w:eastAsia="Calibri" w:hAnsi="Calibri"/>
          <w:sz w:val="22"/>
          <w:szCs w:val="22"/>
        </w:rPr>
        <w:t xml:space="preserve">Identifiants sous-traitants lors des interventions de maintenance externe.</w:t>
      </w:r>
    </w:p>
    <w:p>
      <w:pPr>
        <w:pStyle w:val="Heading3"/>
        <w:spacing w:after="120" w:before="240"/>
      </w:pPr>
      <w:r>
        <w:rPr>
          <w:rFonts w:ascii="Calibri" w:cs="Calibri" w:eastAsia="Calibri" w:hAnsi="Calibri"/>
          <w:b/>
          <w:bCs/>
          <w:color w:val="1F3A5F"/>
          <w:sz w:val="22"/>
          <w:szCs w:val="22"/>
        </w:rPr>
        <w:t xml:space="preserve">4.1.2. Obligations cles</w:t>
      </w:r>
    </w:p>
    <w:p>
      <w:pPr>
        <w:pStyle w:val="ListParagraph"/>
        <w:numPr>
          <w:ilvl w:val="0"/>
          <w:numId w:val="2"/>
        </w:numPr>
        <w:spacing w:after="80" w:line="280"/>
      </w:pPr>
      <w:r>
        <w:rPr>
          <w:rFonts w:ascii="Calibri" w:cs="Calibri" w:eastAsia="Calibri" w:hAnsi="Calibri"/>
          <w:sz w:val="22"/>
          <w:szCs w:val="22"/>
        </w:rPr>
        <w:t xml:space="preserve">Principe de minimisation : ne collecter que les donnees necessaires a la finalite declaree.</w:t>
      </w:r>
    </w:p>
    <w:p>
      <w:pPr>
        <w:pStyle w:val="ListParagraph"/>
        <w:numPr>
          <w:ilvl w:val="0"/>
          <w:numId w:val="2"/>
        </w:numPr>
        <w:spacing w:after="80" w:line="280"/>
      </w:pPr>
      <w:r>
        <w:rPr>
          <w:rFonts w:ascii="Calibri" w:cs="Calibri" w:eastAsia="Calibri" w:hAnsi="Calibri"/>
          <w:sz w:val="22"/>
          <w:szCs w:val="22"/>
        </w:rPr>
        <w:t xml:space="preserve">Duree de conservation limitee et documentee.</w:t>
      </w:r>
    </w:p>
    <w:p>
      <w:pPr>
        <w:pStyle w:val="ListParagraph"/>
        <w:numPr>
          <w:ilvl w:val="0"/>
          <w:numId w:val="2"/>
        </w:numPr>
        <w:spacing w:after="80" w:line="280"/>
      </w:pPr>
      <w:r>
        <w:rPr>
          <w:rFonts w:ascii="Calibri" w:cs="Calibri" w:eastAsia="Calibri" w:hAnsi="Calibri"/>
          <w:sz w:val="22"/>
          <w:szCs w:val="22"/>
        </w:rPr>
        <w:t xml:space="preserve">Information des personnes concernees, registre des traitements tenu a jour.</w:t>
      </w:r>
    </w:p>
    <w:p>
      <w:pPr>
        <w:pStyle w:val="ListParagraph"/>
        <w:numPr>
          <w:ilvl w:val="0"/>
          <w:numId w:val="2"/>
        </w:numPr>
        <w:spacing w:after="80" w:line="280"/>
      </w:pPr>
      <w:r>
        <w:rPr>
          <w:rFonts w:ascii="Calibri" w:cs="Calibri" w:eastAsia="Calibri" w:hAnsi="Calibri"/>
          <w:sz w:val="22"/>
          <w:szCs w:val="22"/>
        </w:rPr>
        <w:t xml:space="preserve">Analyse d'impact (AIPD) pour les traitements a haut risque.</w:t>
      </w:r>
    </w:p>
    <w:p>
      <w:pPr>
        <w:pStyle w:val="ListParagraph"/>
        <w:numPr>
          <w:ilvl w:val="0"/>
          <w:numId w:val="2"/>
        </w:numPr>
        <w:spacing w:after="80" w:line="280"/>
      </w:pPr>
      <w:r>
        <w:rPr>
          <w:rFonts w:ascii="Calibri" w:cs="Calibri" w:eastAsia="Calibri" w:hAnsi="Calibri"/>
          <w:sz w:val="22"/>
          <w:szCs w:val="22"/>
        </w:rPr>
        <w:t xml:space="preserve">Notification a la CNIL en cas de violation de donnees (72 heures).</w:t>
      </w:r>
    </w:p>
    <w:p>
      <w:pPr>
        <w:pStyle w:val="Heading2"/>
        <w:spacing w:after="160" w:before="300"/>
      </w:pPr>
      <w:r>
        <w:rPr>
          <w:rFonts w:ascii="Calibri" w:cs="Calibri" w:eastAsia="Calibri" w:hAnsi="Calibri"/>
          <w:b/>
          <w:bCs/>
          <w:color w:val="2E75B6"/>
          <w:sz w:val="26"/>
          <w:szCs w:val="26"/>
        </w:rPr>
        <w:t xml:space="preserve">4.2. AI Act europeen</w:t>
      </w:r>
    </w:p>
    <w:p>
      <w:pPr>
        <w:spacing w:after="120" w:line="300"/>
        <w:jc w:val="both"/>
      </w:pPr>
      <w:r>
        <w:rPr>
          <w:rFonts w:ascii="Calibri" w:cs="Calibri" w:eastAsia="Calibri" w:hAnsi="Calibri"/>
          <w:sz w:val="22"/>
          <w:szCs w:val="22"/>
        </w:rPr>
        <w:t xml:space="preserve">Le reglement europeen sur l'intelligence artificielle (AI Act), adopte en 2024 et entrant progressivement en vigueur jusqu'en 2027, structure l'encadrement des systemes d'IA selon quatre niveaux de risque.</w:t>
      </w:r>
    </w:p>
    <w:p>
      <w:pPr>
        <w:pStyle w:val="Heading3"/>
        <w:spacing w:after="120" w:before="240"/>
      </w:pPr>
      <w:r>
        <w:rPr>
          <w:rFonts w:ascii="Calibri" w:cs="Calibri" w:eastAsia="Calibri" w:hAnsi="Calibri"/>
          <w:b/>
          <w:bCs/>
          <w:color w:val="1F3A5F"/>
          <w:sz w:val="22"/>
          <w:szCs w:val="22"/>
        </w:rPr>
        <w:t xml:space="preserve">4.2.1. Classification des systemes IA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960"/>
      </w:tblGrid>
      <w:tr>
        <w:trPr>
          <w:tblHeader/>
        </w:trPr>
        <w:tc>
          <w:tcPr>
            <w:tcW w:type="dxa" w:w="1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Niveau</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Categorie</w:t>
            </w:r>
          </w:p>
        </w:tc>
        <w:tc>
          <w:tcPr>
            <w:tcW w:type="dxa" w:w="5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Exemples</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4</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Risque inacceptable</w:t>
            </w:r>
          </w:p>
        </w:tc>
        <w:tc>
          <w:tcPr>
            <w:tcW w:type="dxa" w:w="5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Social scoring, manipulation cognitive - Interdits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Haut risque</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Systemes critiques (sante, education, infrastructures critiques)</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Risque limite</w:t>
            </w:r>
          </w:p>
        </w:tc>
        <w:tc>
          <w:tcPr>
            <w:tcW w:type="dxa" w:w="5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Chatbots, generation de contenu - Transparence requise</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Risque minimal</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Filtres anti-spam, systemes de recommandation simples</w:t>
            </w:r>
          </w:p>
        </w:tc>
      </w:tr>
    </w:tbl>
    <w:p>
      <w:pPr>
        <w:spacing w:after="200"/>
      </w:pPr>
      <w:r>
        <w:t xml:space="preserve"/>
      </w:r>
    </w:p>
    <w:p>
      <w:pPr>
        <w:pStyle w:val="Heading3"/>
        <w:spacing w:after="120" w:before="240"/>
      </w:pPr>
      <w:r>
        <w:rPr>
          <w:rFonts w:ascii="Calibri" w:cs="Calibri" w:eastAsia="Calibri" w:hAnsi="Calibri"/>
          <w:b/>
          <w:bCs/>
          <w:color w:val="1F3A5F"/>
          <w:sz w:val="22"/>
          <w:szCs w:val="22"/>
        </w:rPr>
        <w:t xml:space="preserve">4.2.2. Positionnement du projet MECHA</w:t>
      </w:r>
    </w:p>
    <w:p>
      <w:pPr>
        <w:spacing w:after="120" w:line="300"/>
        <w:jc w:val="both"/>
      </w:pPr>
      <w:r>
        <w:rPr>
          <w:rFonts w:ascii="Calibri" w:cs="Calibri" w:eastAsia="Calibri" w:hAnsi="Calibri"/>
          <w:sz w:val="22"/>
          <w:szCs w:val="22"/>
        </w:rPr>
        <w:t xml:space="preserve">Le systeme MECHA de prediction de defaillance se situe probablement au niveau 2 (risque limite) : il s'agit d'un systeme d'aide a la decision industrielle, sans impact direct sur la securite des personnes ou les droits fondamentaux. Il n'est pas classe dans les infrastructures critiques au sens de l'AI Act.</w:t>
      </w:r>
    </w:p>
    <w:p>
      <w:pPr>
        <w:spacing w:after="120" w:line="300"/>
        <w:jc w:val="both"/>
      </w:pPr>
      <w:r>
        <w:rPr>
          <w:rFonts w:ascii="Calibri" w:cs="Calibri" w:eastAsia="Calibri" w:hAnsi="Calibri"/>
          <w:sz w:val="22"/>
          <w:szCs w:val="22"/>
        </w:rPr>
        <w:t xml:space="preserve">Obligations applicables :</w:t>
      </w:r>
    </w:p>
    <w:p>
      <w:pPr>
        <w:pStyle w:val="ListParagraph"/>
        <w:numPr>
          <w:ilvl w:val="0"/>
          <w:numId w:val="2"/>
        </w:numPr>
        <w:spacing w:after="80" w:line="280"/>
      </w:pPr>
      <w:r>
        <w:rPr>
          <w:rFonts w:ascii="Calibri" w:cs="Calibri" w:eastAsia="Calibri" w:hAnsi="Calibri"/>
          <w:sz w:val="22"/>
          <w:szCs w:val="22"/>
        </w:rPr>
        <w:t xml:space="preserve">Documentation technique systematique du modele (model card).</w:t>
      </w:r>
    </w:p>
    <w:p>
      <w:pPr>
        <w:pStyle w:val="ListParagraph"/>
        <w:numPr>
          <w:ilvl w:val="0"/>
          <w:numId w:val="2"/>
        </w:numPr>
        <w:spacing w:after="80" w:line="280"/>
      </w:pPr>
      <w:r>
        <w:rPr>
          <w:rFonts w:ascii="Calibri" w:cs="Calibri" w:eastAsia="Calibri" w:hAnsi="Calibri"/>
          <w:sz w:val="22"/>
          <w:szCs w:val="22"/>
        </w:rPr>
        <w:t xml:space="preserve">Transparence sur la finalite du systeme aupres des utilisateurs.</w:t>
      </w:r>
    </w:p>
    <w:p>
      <w:pPr>
        <w:pStyle w:val="ListParagraph"/>
        <w:numPr>
          <w:ilvl w:val="0"/>
          <w:numId w:val="2"/>
        </w:numPr>
        <w:spacing w:after="80" w:line="280"/>
      </w:pPr>
      <w:r>
        <w:rPr>
          <w:rFonts w:ascii="Calibri" w:cs="Calibri" w:eastAsia="Calibri" w:hAnsi="Calibri"/>
          <w:sz w:val="22"/>
          <w:szCs w:val="22"/>
        </w:rPr>
        <w:t xml:space="preserve">Supervision humaine maintenue : l'alerte IA ne declenche jamais d'action automatique.</w:t>
      </w:r>
    </w:p>
    <w:p>
      <w:pPr>
        <w:pStyle w:val="ListParagraph"/>
        <w:numPr>
          <w:ilvl w:val="0"/>
          <w:numId w:val="2"/>
        </w:numPr>
        <w:spacing w:after="80" w:line="280"/>
      </w:pPr>
      <w:r>
        <w:rPr>
          <w:rFonts w:ascii="Calibri" w:cs="Calibri" w:eastAsia="Calibri" w:hAnsi="Calibri"/>
          <w:sz w:val="22"/>
          <w:szCs w:val="22"/>
        </w:rPr>
        <w:t xml:space="preserve">Registre des systemes IA utilises en production.</w:t>
      </w:r>
    </w:p>
    <w:p>
      <w:pPr>
        <w:pStyle w:val="Heading2"/>
        <w:spacing w:after="160" w:before="300"/>
      </w:pPr>
      <w:r>
        <w:rPr>
          <w:rFonts w:ascii="Calibri" w:cs="Calibri" w:eastAsia="Calibri" w:hAnsi="Calibri"/>
          <w:b/>
          <w:bCs/>
          <w:color w:val="2E75B6"/>
          <w:sz w:val="26"/>
          <w:szCs w:val="26"/>
        </w:rPr>
        <w:t xml:space="preserve">4.3. Normes sectorielles</w:t>
      </w:r>
    </w:p>
    <w:p>
      <w:pPr>
        <w:pStyle w:val="Heading3"/>
        <w:spacing w:after="120" w:before="240"/>
      </w:pPr>
      <w:r>
        <w:rPr>
          <w:rFonts w:ascii="Calibri" w:cs="Calibri" w:eastAsia="Calibri" w:hAnsi="Calibri"/>
          <w:b/>
          <w:bCs/>
          <w:color w:val="1F3A5F"/>
          <w:sz w:val="22"/>
          <w:szCs w:val="22"/>
        </w:rPr>
        <w:t xml:space="preserve">4.3.1. EN 9100 : management qualite aeronautique</w:t>
      </w:r>
    </w:p>
    <w:p>
      <w:pPr>
        <w:spacing w:after="120" w:line="300"/>
        <w:jc w:val="both"/>
      </w:pPr>
      <w:r>
        <w:rPr>
          <w:rFonts w:ascii="Calibri" w:cs="Calibri" w:eastAsia="Calibri" w:hAnsi="Calibri"/>
          <w:sz w:val="22"/>
          <w:szCs w:val="22"/>
        </w:rPr>
        <w:t xml:space="preserve">La norme EN 9100 (equivalent europeen de l'AS9100 americaine) encadre les exigences qualite pour les fournisseurs aeronautiques. Elle impose notamment :</w:t>
      </w:r>
    </w:p>
    <w:p>
      <w:pPr>
        <w:pStyle w:val="ListParagraph"/>
        <w:numPr>
          <w:ilvl w:val="0"/>
          <w:numId w:val="2"/>
        </w:numPr>
        <w:spacing w:after="80" w:line="280"/>
      </w:pPr>
      <w:r>
        <w:rPr>
          <w:rFonts w:ascii="Calibri" w:cs="Calibri" w:eastAsia="Calibri" w:hAnsi="Calibri"/>
          <w:sz w:val="22"/>
          <w:szCs w:val="22"/>
        </w:rPr>
        <w:t xml:space="preserve">Tracabilite complete des pieces produites (du lot matiere premiere au client final).</w:t>
      </w:r>
    </w:p>
    <w:p>
      <w:pPr>
        <w:pStyle w:val="ListParagraph"/>
        <w:numPr>
          <w:ilvl w:val="0"/>
          <w:numId w:val="2"/>
        </w:numPr>
        <w:spacing w:after="80" w:line="280"/>
      </w:pPr>
      <w:r>
        <w:rPr>
          <w:rFonts w:ascii="Calibri" w:cs="Calibri" w:eastAsia="Calibri" w:hAnsi="Calibri"/>
          <w:sz w:val="22"/>
          <w:szCs w:val="22"/>
        </w:rPr>
        <w:t xml:space="preserve">Gestion des risques processus (FMEA, plans de controle).</w:t>
      </w:r>
    </w:p>
    <w:p>
      <w:pPr>
        <w:pStyle w:val="ListParagraph"/>
        <w:numPr>
          <w:ilvl w:val="0"/>
          <w:numId w:val="2"/>
        </w:numPr>
        <w:spacing w:after="80" w:line="280"/>
      </w:pPr>
      <w:r>
        <w:rPr>
          <w:rFonts w:ascii="Calibri" w:cs="Calibri" w:eastAsia="Calibri" w:hAnsi="Calibri"/>
          <w:sz w:val="22"/>
          <w:szCs w:val="22"/>
        </w:rPr>
        <w:t xml:space="preserve">Gestion de la configuration et des changements.</w:t>
      </w:r>
    </w:p>
    <w:p>
      <w:pPr>
        <w:pStyle w:val="ListParagraph"/>
        <w:numPr>
          <w:ilvl w:val="0"/>
          <w:numId w:val="2"/>
        </w:numPr>
        <w:spacing w:after="80" w:line="280"/>
      </w:pPr>
      <w:r>
        <w:rPr>
          <w:rFonts w:ascii="Calibri" w:cs="Calibri" w:eastAsia="Calibri" w:hAnsi="Calibri"/>
          <w:sz w:val="22"/>
          <w:szCs w:val="22"/>
        </w:rPr>
        <w:t xml:space="preserve">Audits reguliers internes et externes.</w:t>
      </w:r>
    </w:p>
    <w:p>
      <w:pPr>
        <w:spacing w:after="120" w:line="300"/>
        <w:jc w:val="both"/>
      </w:pPr>
      <w:r>
        <w:rPr>
          <w:rFonts w:ascii="Calibri" w:cs="Calibri" w:eastAsia="Calibri" w:hAnsi="Calibri"/>
          <w:sz w:val="22"/>
          <w:szCs w:val="22"/>
        </w:rPr>
        <w:t xml:space="preserve">Le systeme BI MECHA contribue a la tracabilite via la conservation exhaustive des donnees brutes (bronze) et des indicateurs qualite calcules. L'integration avec les outils qualite existants (FMEA, plans de surveillance) sera a prevoir en phase 2.</w:t>
      </w:r>
    </w:p>
    <w:p>
      <w:pPr>
        <w:pStyle w:val="Heading3"/>
        <w:spacing w:after="120" w:before="240"/>
      </w:pPr>
      <w:r>
        <w:rPr>
          <w:rFonts w:ascii="Calibri" w:cs="Calibri" w:eastAsia="Calibri" w:hAnsi="Calibri"/>
          <w:b/>
          <w:bCs/>
          <w:color w:val="1F3A5F"/>
          <w:sz w:val="22"/>
          <w:szCs w:val="22"/>
        </w:rPr>
        <w:t xml:space="preserve">4.3.2. ISO 22400 : indicateurs de performance industrielle</w:t>
      </w:r>
    </w:p>
    <w:p>
      <w:pPr>
        <w:spacing w:after="120" w:line="300"/>
        <w:jc w:val="both"/>
      </w:pPr>
      <w:r>
        <w:rPr>
          <w:rFonts w:ascii="Calibri" w:cs="Calibri" w:eastAsia="Calibri" w:hAnsi="Calibri"/>
          <w:sz w:val="22"/>
          <w:szCs w:val="22"/>
        </w:rPr>
        <w:t xml:space="preserve">La norme ISO 22400 standardise la definition des KPIs manufacturing. Elle formalise 34 indicateurs dont le TRS (OEE en anglais), le taux de qualite, la disponibilite, la performance. Nos definitions de KPIs dans le projet MECHA suivent strictement ces standards.</w:t>
      </w:r>
    </w:p>
    <w:p>
      <w:pPr>
        <w:pStyle w:val="Heading3"/>
        <w:spacing w:after="120" w:before="240"/>
      </w:pPr>
      <w:r>
        <w:rPr>
          <w:rFonts w:ascii="Calibri" w:cs="Calibri" w:eastAsia="Calibri" w:hAnsi="Calibri"/>
          <w:b/>
          <w:bCs/>
          <w:color w:val="1F3A5F"/>
          <w:sz w:val="22"/>
          <w:szCs w:val="22"/>
        </w:rPr>
        <w:t xml:space="preserve">4.3.3. IEC 62443 : cybersecurite industrielle</w:t>
      </w:r>
    </w:p>
    <w:p>
      <w:pPr>
        <w:spacing w:after="120" w:line="300"/>
        <w:jc w:val="both"/>
      </w:pPr>
      <w:r>
        <w:rPr>
          <w:rFonts w:ascii="Calibri" w:cs="Calibri" w:eastAsia="Calibri" w:hAnsi="Calibri"/>
          <w:sz w:val="22"/>
          <w:szCs w:val="22"/>
        </w:rPr>
        <w:t xml:space="preserve">La serie de normes IEC 62443 encadre la cybersecurite des systemes industriels. Elle imposera en phase de production :</w:t>
      </w:r>
    </w:p>
    <w:p>
      <w:pPr>
        <w:pStyle w:val="ListParagraph"/>
        <w:numPr>
          <w:ilvl w:val="0"/>
          <w:numId w:val="2"/>
        </w:numPr>
        <w:spacing w:after="80" w:line="280"/>
      </w:pPr>
      <w:r>
        <w:rPr>
          <w:rFonts w:ascii="Calibri" w:cs="Calibri" w:eastAsia="Calibri" w:hAnsi="Calibri"/>
          <w:sz w:val="22"/>
          <w:szCs w:val="22"/>
        </w:rPr>
        <w:t xml:space="preserve">Segmentation des reseaux IT et OT (Operational Technology).</w:t>
      </w:r>
    </w:p>
    <w:p>
      <w:pPr>
        <w:pStyle w:val="ListParagraph"/>
        <w:numPr>
          <w:ilvl w:val="0"/>
          <w:numId w:val="2"/>
        </w:numPr>
        <w:spacing w:after="80" w:line="280"/>
      </w:pPr>
      <w:r>
        <w:rPr>
          <w:rFonts w:ascii="Calibri" w:cs="Calibri" w:eastAsia="Calibri" w:hAnsi="Calibri"/>
          <w:sz w:val="22"/>
          <w:szCs w:val="22"/>
        </w:rPr>
        <w:t xml:space="preserve">Controle d'acces stricts sur les systemes critiques.</w:t>
      </w:r>
    </w:p>
    <w:p>
      <w:pPr>
        <w:pStyle w:val="ListParagraph"/>
        <w:numPr>
          <w:ilvl w:val="0"/>
          <w:numId w:val="2"/>
        </w:numPr>
        <w:spacing w:after="80" w:line="280"/>
      </w:pPr>
      <w:r>
        <w:rPr>
          <w:rFonts w:ascii="Calibri" w:cs="Calibri" w:eastAsia="Calibri" w:hAnsi="Calibri"/>
          <w:sz w:val="22"/>
          <w:szCs w:val="22"/>
        </w:rPr>
        <w:t xml:space="preserve">Chiffrement des communications inter-sites.</w:t>
      </w:r>
    </w:p>
    <w:p>
      <w:pPr>
        <w:pStyle w:val="ListParagraph"/>
        <w:numPr>
          <w:ilvl w:val="0"/>
          <w:numId w:val="2"/>
        </w:numPr>
        <w:spacing w:after="80" w:line="280"/>
      </w:pPr>
      <w:r>
        <w:rPr>
          <w:rFonts w:ascii="Calibri" w:cs="Calibri" w:eastAsia="Calibri" w:hAnsi="Calibri"/>
          <w:sz w:val="22"/>
          <w:szCs w:val="22"/>
        </w:rPr>
        <w:t xml:space="preserve">Journalisation et surveillance des evenements de securite.</w:t>
      </w:r>
    </w:p>
    <w:p>
      <w:pPr>
        <w:pStyle w:val="Heading1"/>
        <w:pageBreakBefore/>
        <w:spacing w:after="240" w:before="360"/>
      </w:pPr>
      <w:r>
        <w:rPr>
          <w:rFonts w:ascii="Calibri" w:cs="Calibri" w:eastAsia="Calibri" w:hAnsi="Calibri"/>
          <w:b/>
          <w:bCs/>
          <w:color w:val="1F3A5F"/>
          <w:sz w:val="32"/>
          <w:szCs w:val="32"/>
        </w:rPr>
        <w:t xml:space="preserve">5. Volet sectoriel : Industrie 4.0</w:t>
      </w:r>
    </w:p>
    <w:p>
      <w:pPr>
        <w:pStyle w:val="Heading2"/>
        <w:spacing w:after="160" w:before="300"/>
      </w:pPr>
      <w:r>
        <w:rPr>
          <w:rFonts w:ascii="Calibri" w:cs="Calibri" w:eastAsia="Calibri" w:hAnsi="Calibri"/>
          <w:b/>
          <w:bCs/>
          <w:color w:val="2E75B6"/>
          <w:sz w:val="26"/>
          <w:szCs w:val="26"/>
        </w:rPr>
        <w:t xml:space="preserve">5.1. Maturite du marche</w:t>
      </w:r>
    </w:p>
    <w:p>
      <w:pPr>
        <w:spacing w:after="120" w:line="300"/>
        <w:jc w:val="both"/>
      </w:pPr>
      <w:r>
        <w:rPr>
          <w:rFonts w:ascii="Calibri" w:cs="Calibri" w:eastAsia="Calibri" w:hAnsi="Calibri"/>
          <w:sz w:val="22"/>
          <w:szCs w:val="22"/>
        </w:rPr>
        <w:t xml:space="preserve">L'Industrie 4.0 est passee de concept prospectif (2011, Hanovre) a realite industrielle. Les retours d'experience disponibles confirment la pertinence des approches data-centric dans l'industrie manufacturiere.</w:t>
      </w:r>
    </w:p>
    <w:p>
      <w:pPr>
        <w:pStyle w:val="Heading3"/>
        <w:spacing w:after="120" w:before="240"/>
      </w:pPr>
      <w:r>
        <w:rPr>
          <w:rFonts w:ascii="Calibri" w:cs="Calibri" w:eastAsia="Calibri" w:hAnsi="Calibri"/>
          <w:b/>
          <w:bCs/>
          <w:color w:val="1F3A5F"/>
          <w:sz w:val="22"/>
          <w:szCs w:val="22"/>
        </w:rPr>
        <w:t xml:space="preserve">5.1.1. Retours d'experience significatifs</w:t>
      </w:r>
    </w:p>
    <w:p>
      <w:pPr>
        <w:pStyle w:val="ListParagraph"/>
        <w:numPr>
          <w:ilvl w:val="0"/>
          <w:numId w:val="2"/>
        </w:numPr>
        <w:spacing w:after="80" w:line="280"/>
      </w:pPr>
      <w:r>
        <w:rPr>
          <w:rFonts w:ascii="Calibri" w:cs="Calibri" w:eastAsia="Calibri" w:hAnsi="Calibri"/>
          <w:sz w:val="22"/>
          <w:szCs w:val="22"/>
        </w:rPr>
        <w:t xml:space="preserve">Airbus : deploiement d'un jumeau numerique global couvrant la chaine de production de l'A320, reduction de 15 % des temps de cycle.</w:t>
      </w:r>
    </w:p>
    <w:p>
      <w:pPr>
        <w:pStyle w:val="ListParagraph"/>
        <w:numPr>
          <w:ilvl w:val="0"/>
          <w:numId w:val="2"/>
        </w:numPr>
        <w:spacing w:after="80" w:line="280"/>
      </w:pPr>
      <w:r>
        <w:rPr>
          <w:rFonts w:ascii="Calibri" w:cs="Calibri" w:eastAsia="Calibri" w:hAnsi="Calibri"/>
          <w:sz w:val="22"/>
          <w:szCs w:val="22"/>
        </w:rPr>
        <w:t xml:space="preserve">Renault : projet ID@S sur l'usine de Cleon, reduction de 20 % des arrets non planifies par maintenance predictive.</w:t>
      </w:r>
    </w:p>
    <w:p>
      <w:pPr>
        <w:pStyle w:val="ListParagraph"/>
        <w:numPr>
          <w:ilvl w:val="0"/>
          <w:numId w:val="2"/>
        </w:numPr>
        <w:spacing w:after="80" w:line="280"/>
      </w:pPr>
      <w:r>
        <w:rPr>
          <w:rFonts w:ascii="Calibri" w:cs="Calibri" w:eastAsia="Calibri" w:hAnsi="Calibri"/>
          <w:sz w:val="22"/>
          <w:szCs w:val="22"/>
        </w:rPr>
        <w:t xml:space="preserve">Schneider Electric : standardisation de l'EcoStruxure Asset Advisor sur 100 usines, gains moyens de 5-10 % de TRS.</w:t>
      </w:r>
    </w:p>
    <w:p>
      <w:pPr>
        <w:pStyle w:val="ListParagraph"/>
        <w:numPr>
          <w:ilvl w:val="0"/>
          <w:numId w:val="2"/>
        </w:numPr>
        <w:spacing w:after="80" w:line="280"/>
      </w:pPr>
      <w:r>
        <w:rPr>
          <w:rFonts w:ascii="Calibri" w:cs="Calibri" w:eastAsia="Calibri" w:hAnsi="Calibri"/>
          <w:sz w:val="22"/>
          <w:szCs w:val="22"/>
        </w:rPr>
        <w:t xml:space="preserve">Safran : integration du machine learning dans le controle qualite moteurs CFM, detection de defauts fins auparavant non identifies.</w:t>
      </w:r>
    </w:p>
    <w:p>
      <w:pPr>
        <w:pStyle w:val="Heading2"/>
        <w:spacing w:after="160" w:before="300"/>
      </w:pPr>
      <w:r>
        <w:rPr>
          <w:rFonts w:ascii="Calibri" w:cs="Calibri" w:eastAsia="Calibri" w:hAnsi="Calibri"/>
          <w:b/>
          <w:bCs/>
          <w:color w:val="2E75B6"/>
          <w:sz w:val="26"/>
          <w:szCs w:val="26"/>
        </w:rPr>
        <w:t xml:space="preserve">5.2. Technologies emergentes pertinentes</w:t>
      </w:r>
    </w:p>
    <w:p>
      <w:pPr>
        <w:pStyle w:val="Heading3"/>
        <w:spacing w:after="120" w:before="240"/>
      </w:pPr>
      <w:r>
        <w:rPr>
          <w:rFonts w:ascii="Calibri" w:cs="Calibri" w:eastAsia="Calibri" w:hAnsi="Calibri"/>
          <w:b/>
          <w:bCs/>
          <w:color w:val="1F3A5F"/>
          <w:sz w:val="22"/>
          <w:szCs w:val="22"/>
        </w:rPr>
        <w:t xml:space="preserve">5.2.1. Jumeaux numeriques</w:t>
      </w:r>
    </w:p>
    <w:p>
      <w:pPr>
        <w:spacing w:after="120" w:line="300"/>
        <w:jc w:val="both"/>
      </w:pPr>
      <w:r>
        <w:rPr>
          <w:rFonts w:ascii="Calibri" w:cs="Calibri" w:eastAsia="Calibri" w:hAnsi="Calibri"/>
          <w:sz w:val="22"/>
          <w:szCs w:val="22"/>
        </w:rPr>
        <w:t xml:space="preserve">Le jumeau numerique (digital twin) represente virtuellement un systeme physique pour simulation, optimisation et prediction. Il constitue l'etape suivante naturelle apres un systeme de BI et de ML operationnel comme celui du PoC MECHA.</w:t>
      </w:r>
    </w:p>
    <w:p>
      <w:pPr>
        <w:spacing w:after="120" w:line="300"/>
        <w:jc w:val="both"/>
      </w:pPr>
      <w:r>
        <w:rPr>
          <w:rFonts w:ascii="Calibri" w:cs="Calibri" w:eastAsia="Calibri" w:hAnsi="Calibri"/>
          <w:sz w:val="22"/>
          <w:szCs w:val="22"/>
        </w:rPr>
        <w:t xml:space="preserve">Plateformes majeures : Siemens NX, Dassault Systemes 3DEXPERIENCE, PTC Thingworx, Azure Digital Twins.</w:t>
      </w:r>
    </w:p>
    <w:p>
      <w:pPr>
        <w:pStyle w:val="Heading3"/>
        <w:spacing w:after="120" w:before="240"/>
      </w:pPr>
      <w:r>
        <w:rPr>
          <w:rFonts w:ascii="Calibri" w:cs="Calibri" w:eastAsia="Calibri" w:hAnsi="Calibri"/>
          <w:b/>
          <w:bCs/>
          <w:color w:val="1F3A5F"/>
          <w:sz w:val="22"/>
          <w:szCs w:val="22"/>
        </w:rPr>
        <w:t xml:space="preserve">5.2.2. Edge computing</w:t>
      </w:r>
    </w:p>
    <w:p>
      <w:pPr>
        <w:spacing w:after="120" w:line="300"/>
        <w:jc w:val="both"/>
      </w:pPr>
      <w:r>
        <w:rPr>
          <w:rFonts w:ascii="Calibri" w:cs="Calibri" w:eastAsia="Calibri" w:hAnsi="Calibri"/>
          <w:sz w:val="22"/>
          <w:szCs w:val="22"/>
        </w:rPr>
        <w:t xml:space="preserve">L'edge computing deporte une partie du traitement des donnees au plus pres des capteurs, reduisant la latence et la bande passante consommee. Pertinent pour MECHA dans les cas d'usage a forte criticite temporelle (arret machine en cas d'anomalie critique detectee en &lt;100 ms).</w:t>
      </w:r>
    </w:p>
    <w:p>
      <w:pPr>
        <w:pStyle w:val="Heading3"/>
        <w:spacing w:after="120" w:before="240"/>
      </w:pPr>
      <w:r>
        <w:rPr>
          <w:rFonts w:ascii="Calibri" w:cs="Calibri" w:eastAsia="Calibri" w:hAnsi="Calibri"/>
          <w:b/>
          <w:bCs/>
          <w:color w:val="1F3A5F"/>
          <w:sz w:val="22"/>
          <w:szCs w:val="22"/>
        </w:rPr>
        <w:t xml:space="preserve">5.2.3. 5G industrielle</w:t>
      </w:r>
    </w:p>
    <w:p>
      <w:pPr>
        <w:spacing w:after="120" w:line="300"/>
        <w:jc w:val="both"/>
      </w:pPr>
      <w:r>
        <w:rPr>
          <w:rFonts w:ascii="Calibri" w:cs="Calibri" w:eastAsia="Calibri" w:hAnsi="Calibri"/>
          <w:sz w:val="22"/>
          <w:szCs w:val="22"/>
        </w:rPr>
        <w:t xml:space="preserve">Les reseaux prives 5G ouvrent de nouvelles possibilites de connectivite intra-usine : faible latence, haut debit, fiabilite. A evaluer en phase 3 selon l'infrastructure existante.</w:t>
      </w:r>
    </w:p>
    <w:p>
      <w:pPr>
        <w:pStyle w:val="Heading2"/>
        <w:spacing w:after="160" w:before="300"/>
      </w:pPr>
      <w:r>
        <w:rPr>
          <w:rFonts w:ascii="Calibri" w:cs="Calibri" w:eastAsia="Calibri" w:hAnsi="Calibri"/>
          <w:b/>
          <w:bCs/>
          <w:color w:val="2E75B6"/>
          <w:sz w:val="26"/>
          <w:szCs w:val="26"/>
        </w:rPr>
        <w:t xml:space="preserve">5.3. Standards d'interoperabilite</w:t>
      </w:r>
    </w:p>
    <w:p>
      <w:pPr>
        <w:pStyle w:val="ListParagraph"/>
        <w:numPr>
          <w:ilvl w:val="0"/>
          <w:numId w:val="2"/>
        </w:numPr>
        <w:spacing w:after="80" w:line="280"/>
      </w:pPr>
      <w:r>
        <w:rPr>
          <w:rFonts w:ascii="Calibri" w:cs="Calibri" w:eastAsia="Calibri" w:hAnsi="Calibri"/>
          <w:sz w:val="22"/>
          <w:szCs w:val="22"/>
        </w:rPr>
        <w:t xml:space="preserve">OPC UA (Unified Architecture) : standard de communication machine-to-machine dans l'industrie.</w:t>
      </w:r>
    </w:p>
    <w:p>
      <w:pPr>
        <w:pStyle w:val="ListParagraph"/>
        <w:numPr>
          <w:ilvl w:val="0"/>
          <w:numId w:val="2"/>
        </w:numPr>
        <w:spacing w:after="80" w:line="280"/>
      </w:pPr>
      <w:r>
        <w:rPr>
          <w:rFonts w:ascii="Calibri" w:cs="Calibri" w:eastAsia="Calibri" w:hAnsi="Calibri"/>
          <w:sz w:val="22"/>
          <w:szCs w:val="22"/>
        </w:rPr>
        <w:t xml:space="preserve">MQTT : protocole leger adapte a l'IoT et aux contraintes reseau.</w:t>
      </w:r>
    </w:p>
    <w:p>
      <w:pPr>
        <w:pStyle w:val="ListParagraph"/>
        <w:numPr>
          <w:ilvl w:val="0"/>
          <w:numId w:val="2"/>
        </w:numPr>
        <w:spacing w:after="80" w:line="280"/>
      </w:pPr>
      <w:r>
        <w:rPr>
          <w:rFonts w:ascii="Calibri" w:cs="Calibri" w:eastAsia="Calibri" w:hAnsi="Calibri"/>
          <w:sz w:val="22"/>
          <w:szCs w:val="22"/>
        </w:rPr>
        <w:t xml:space="preserve">ISA-95 : modele de reference pour l'integration des systemes d'entreprise et de production.</w:t>
      </w:r>
    </w:p>
    <w:p>
      <w:pPr>
        <w:pStyle w:val="ListParagraph"/>
        <w:numPr>
          <w:ilvl w:val="0"/>
          <w:numId w:val="2"/>
        </w:numPr>
        <w:spacing w:after="80" w:line="280"/>
      </w:pPr>
      <w:r>
        <w:rPr>
          <w:rFonts w:ascii="Calibri" w:cs="Calibri" w:eastAsia="Calibri" w:hAnsi="Calibri"/>
          <w:sz w:val="22"/>
          <w:szCs w:val="22"/>
        </w:rPr>
        <w:t xml:space="preserve">AutomationML : format d'echange standardise pour les modeles d'automatisation industrielle.</w:t>
      </w:r>
    </w:p>
    <w:p>
      <w:pPr>
        <w:pStyle w:val="Heading1"/>
        <w:pageBreakBefore/>
        <w:spacing w:after="240" w:before="360"/>
      </w:pPr>
      <w:r>
        <w:rPr>
          <w:rFonts w:ascii="Calibri" w:cs="Calibri" w:eastAsia="Calibri" w:hAnsi="Calibri"/>
          <w:b/>
          <w:bCs/>
          <w:color w:val="1F3A5F"/>
          <w:sz w:val="32"/>
          <w:szCs w:val="32"/>
        </w:rPr>
        <w:t xml:space="preserve">6. Technology and regulatory watch (English summary)</w:t>
      </w:r>
    </w:p>
    <w:p>
      <w:pPr>
        <w:pStyle w:val="Heading2"/>
        <w:spacing w:after="160" w:before="300"/>
      </w:pPr>
      <w:r>
        <w:rPr>
          <w:rFonts w:ascii="Calibri" w:cs="Calibri" w:eastAsia="Calibri" w:hAnsi="Calibri"/>
          <w:b/>
          <w:bCs/>
          <w:color w:val="2E75B6"/>
          <w:sz w:val="26"/>
          <w:szCs w:val="26"/>
        </w:rPr>
        <w:t xml:space="preserve">6.1. Purpose</w:t>
      </w:r>
    </w:p>
    <w:p>
      <w:pPr>
        <w:spacing w:after="120" w:line="300"/>
        <w:jc w:val="both"/>
      </w:pPr>
      <w:r>
        <w:rPr>
          <w:rFonts w:ascii="Calibri" w:cs="Calibri" w:eastAsia="Calibri" w:hAnsi="Calibri"/>
          <w:sz w:val="22"/>
          <w:szCs w:val="22"/>
        </w:rPr>
        <w:t xml:space="preserve">This section provides an English-language summary of key technological and regulatory elements relevant to the MECHA project, targeting an international audience of partners and experts.</w:t>
      </w:r>
    </w:p>
    <w:p>
      <w:pPr>
        <w:pStyle w:val="Heading2"/>
        <w:spacing w:after="160" w:before="300"/>
      </w:pPr>
      <w:r>
        <w:rPr>
          <w:rFonts w:ascii="Calibri" w:cs="Calibri" w:eastAsia="Calibri" w:hAnsi="Calibri"/>
          <w:b/>
          <w:bCs/>
          <w:color w:val="2E75B6"/>
          <w:sz w:val="26"/>
          <w:szCs w:val="26"/>
        </w:rPr>
        <w:t xml:space="preserve">6.2. Technology watch</w:t>
      </w:r>
    </w:p>
    <w:p>
      <w:pPr>
        <w:pStyle w:val="Heading3"/>
        <w:spacing w:after="120" w:before="240"/>
      </w:pPr>
      <w:r>
        <w:rPr>
          <w:rFonts w:ascii="Calibri" w:cs="Calibri" w:eastAsia="Calibri" w:hAnsi="Calibri"/>
          <w:b/>
          <w:bCs/>
          <w:color w:val="1F3A5F"/>
          <w:sz w:val="22"/>
          <w:szCs w:val="22"/>
        </w:rPr>
        <w:t xml:space="preserve">6.2.1. Machine Learning for Industrial Data</w:t>
      </w:r>
    </w:p>
    <w:p>
      <w:pPr>
        <w:spacing w:after="120" w:line="300"/>
        <w:jc w:val="both"/>
      </w:pPr>
      <w:r>
        <w:rPr>
          <w:rFonts w:ascii="Calibri" w:cs="Calibri" w:eastAsia="Calibri" w:hAnsi="Calibri"/>
          <w:sz w:val="22"/>
          <w:szCs w:val="22"/>
        </w:rPr>
        <w:t xml:space="preserve">Gradient boosting (XGBoost, LightGBM, CatBoost) remains the state of the art for tabular industrial data, outperforming deep learning methods on most benchmarks (Grinsztajn et al., 2022). Its advantages include non-linear pattern capture, natural handling of missing values and outliers, and high performance with moderate training time.</w:t>
      </w:r>
    </w:p>
    <w:p>
      <w:pPr>
        <w:spacing w:after="120" w:line="300"/>
        <w:jc w:val="both"/>
      </w:pPr>
      <w:r>
        <w:rPr>
          <w:rFonts w:ascii="Calibri" w:cs="Calibri" w:eastAsia="Calibri" w:hAnsi="Calibri"/>
          <w:sz w:val="22"/>
          <w:szCs w:val="22"/>
        </w:rPr>
        <w:t xml:space="preserve">For interpretability, SHAP (Shapley Additive exPlanations) has become the scientific reference for both local and global model explanations. Its integration into production dashboards is increasingly common in regulated sectors (healthcare, finance, critical infrastructure) and is recommended for the MECHA project to contextualize each predictive alert.</w:t>
      </w:r>
    </w:p>
    <w:p>
      <w:pPr>
        <w:pStyle w:val="Heading3"/>
        <w:spacing w:after="120" w:before="240"/>
      </w:pPr>
      <w:r>
        <w:rPr>
          <w:rFonts w:ascii="Calibri" w:cs="Calibri" w:eastAsia="Calibri" w:hAnsi="Calibri"/>
          <w:b/>
          <w:bCs/>
          <w:color w:val="1F3A5F"/>
          <w:sz w:val="22"/>
          <w:szCs w:val="22"/>
        </w:rPr>
        <w:t xml:space="preserve">6.2.2. MLOps Stack</w:t>
      </w:r>
    </w:p>
    <w:p>
      <w:pPr>
        <w:spacing w:after="120" w:line="300"/>
        <w:jc w:val="both"/>
      </w:pPr>
      <w:r>
        <w:rPr>
          <w:rFonts w:ascii="Calibri" w:cs="Calibri" w:eastAsia="Calibri" w:hAnsi="Calibri"/>
          <w:sz w:val="22"/>
          <w:szCs w:val="22"/>
        </w:rPr>
        <w:t xml:space="preserve">The MLOps discipline has matured significantly. The reference open-source stack includes : MLflow for experiment tracking and model registry, Airflow or Dagster for pipeline orchestration, Evidently or WhyLabs for production drift monitoring, and BentoML or Seldon for model serving. Commercial alternatives (Databricks, Sagemaker, Vertex AI) offer integrated platforms but at the cost of some vendor lock-in.</w:t>
      </w:r>
    </w:p>
    <w:p>
      <w:pPr>
        <w:pStyle w:val="Heading3"/>
        <w:spacing w:after="120" w:before="240"/>
      </w:pPr>
      <w:r>
        <w:rPr>
          <w:rFonts w:ascii="Calibri" w:cs="Calibri" w:eastAsia="Calibri" w:hAnsi="Calibri"/>
          <w:b/>
          <w:bCs/>
          <w:color w:val="1F3A5F"/>
          <w:sz w:val="22"/>
          <w:szCs w:val="22"/>
        </w:rPr>
        <w:t xml:space="preserve">6.2.3. Modern Data Architecture</w:t>
      </w:r>
    </w:p>
    <w:p>
      <w:pPr>
        <w:spacing w:after="120" w:line="300"/>
        <w:jc w:val="both"/>
      </w:pPr>
      <w:r>
        <w:rPr>
          <w:rFonts w:ascii="Calibri" w:cs="Calibri" w:eastAsia="Calibri" w:hAnsi="Calibri"/>
          <w:sz w:val="22"/>
          <w:szCs w:val="22"/>
        </w:rPr>
        <w:t xml:space="preserve">The lakehouse architecture, formalized by Databricks in 2020, combines the flexibility of data lakes with the transactionality of data warehouses. Open table formats (Apache Iceberg, Delta Lake, Apache Hudi) provide ACID guarantees, time travel, and schema evolution on low-cost object storage. This architecture is increasingly adopted for industrial data platforms beyond the initial proof of concept scale.</w:t>
      </w:r>
    </w:p>
    <w:p>
      <w:pPr>
        <w:pStyle w:val="Heading2"/>
        <w:spacing w:after="160" w:before="300"/>
      </w:pPr>
      <w:r>
        <w:rPr>
          <w:rFonts w:ascii="Calibri" w:cs="Calibri" w:eastAsia="Calibri" w:hAnsi="Calibri"/>
          <w:b/>
          <w:bCs/>
          <w:color w:val="2E75B6"/>
          <w:sz w:val="26"/>
          <w:szCs w:val="26"/>
        </w:rPr>
        <w:t xml:space="preserve">6.3. Regulatory watch</w:t>
      </w:r>
    </w:p>
    <w:p>
      <w:pPr>
        <w:pStyle w:val="Heading3"/>
        <w:spacing w:after="120" w:before="240"/>
      </w:pPr>
      <w:r>
        <w:rPr>
          <w:rFonts w:ascii="Calibri" w:cs="Calibri" w:eastAsia="Calibri" w:hAnsi="Calibri"/>
          <w:b/>
          <w:bCs/>
          <w:color w:val="1F3A5F"/>
          <w:sz w:val="22"/>
          <w:szCs w:val="22"/>
        </w:rPr>
        <w:t xml:space="preserve">6.3.1. EU AI Act</w:t>
      </w:r>
    </w:p>
    <w:p>
      <w:pPr>
        <w:spacing w:after="120" w:line="300"/>
        <w:jc w:val="both"/>
      </w:pPr>
      <w:r>
        <w:rPr>
          <w:rFonts w:ascii="Calibri" w:cs="Calibri" w:eastAsia="Calibri" w:hAnsi="Calibri"/>
          <w:sz w:val="22"/>
          <w:szCs w:val="22"/>
        </w:rPr>
        <w:t xml:space="preserve">The European AI Act (adopted 2024, entering force progressively through 2027) classifies AI systems into four risk categories: unacceptable risk (banned), high risk (strict requirements), limited risk (transparency obligations), and minimal risk. Industrial predictive maintenance systems like MECHA typically fall into the limited-risk category, requiring technical documentation (model cards), transparency, and human oversight.</w:t>
      </w:r>
    </w:p>
    <w:p>
      <w:pPr>
        <w:pStyle w:val="Heading3"/>
        <w:spacing w:after="120" w:before="240"/>
      </w:pPr>
      <w:r>
        <w:rPr>
          <w:rFonts w:ascii="Calibri" w:cs="Calibri" w:eastAsia="Calibri" w:hAnsi="Calibri"/>
          <w:b/>
          <w:bCs/>
          <w:color w:val="1F3A5F"/>
          <w:sz w:val="22"/>
          <w:szCs w:val="22"/>
        </w:rPr>
        <w:t xml:space="preserve">6.3.2. GDPR in Industrial Context</w:t>
      </w:r>
    </w:p>
    <w:p>
      <w:pPr>
        <w:spacing w:after="120" w:line="300"/>
        <w:jc w:val="both"/>
      </w:pPr>
      <w:r>
        <w:rPr>
          <w:rFonts w:ascii="Calibri" w:cs="Calibri" w:eastAsia="Calibri" w:hAnsi="Calibri"/>
          <w:sz w:val="22"/>
          <w:szCs w:val="22"/>
        </w:rPr>
        <w:t xml:space="preserve">While industrial data is predominantly non-personal, GDPR still applies to operator identifiers in MES logs, supervision interface access logs, and potentially biometric data from access control systems. Compliance strategies include data minimization, pseudonymization of operator identifiers in analytical flows, and clear retention policies.</w:t>
      </w:r>
    </w:p>
    <w:p>
      <w:pPr>
        <w:pStyle w:val="Heading3"/>
        <w:spacing w:after="120" w:before="240"/>
      </w:pPr>
      <w:r>
        <w:rPr>
          <w:rFonts w:ascii="Calibri" w:cs="Calibri" w:eastAsia="Calibri" w:hAnsi="Calibri"/>
          <w:b/>
          <w:bCs/>
          <w:color w:val="1F3A5F"/>
          <w:sz w:val="22"/>
          <w:szCs w:val="22"/>
        </w:rPr>
        <w:t xml:space="preserve">6.3.3. Sector Standards</w:t>
      </w:r>
    </w:p>
    <w:p>
      <w:pPr>
        <w:spacing w:after="120" w:line="300"/>
        <w:jc w:val="both"/>
      </w:pPr>
      <w:r>
        <w:rPr>
          <w:rFonts w:ascii="Calibri" w:cs="Calibri" w:eastAsia="Calibri" w:hAnsi="Calibri"/>
          <w:sz w:val="22"/>
          <w:szCs w:val="22"/>
        </w:rPr>
        <w:t xml:space="preserve">Key sector standards relevant for MECHA: EN 9100 (aerospace quality management), ISO 22400 (manufacturing KPI definitions), and IEC 62443 (industrial cybersecurity). Alignment with these standards is both a compliance requirement and a differentiator for customer audits.</w:t>
      </w:r>
    </w:p>
    <w:p>
      <w:pPr>
        <w:pStyle w:val="Heading2"/>
        <w:spacing w:after="160" w:before="300"/>
      </w:pPr>
      <w:r>
        <w:rPr>
          <w:rFonts w:ascii="Calibri" w:cs="Calibri" w:eastAsia="Calibri" w:hAnsi="Calibri"/>
          <w:b/>
          <w:bCs/>
          <w:color w:val="2E75B6"/>
          <w:sz w:val="26"/>
          <w:szCs w:val="26"/>
        </w:rPr>
        <w:t xml:space="preserve">6.4. Key takeaways for MECHA</w:t>
      </w:r>
    </w:p>
    <w:p>
      <w:pPr>
        <w:pStyle w:val="ListParagraph"/>
        <w:numPr>
          <w:ilvl w:val="0"/>
          <w:numId w:val="2"/>
        </w:numPr>
        <w:spacing w:after="80" w:line="280"/>
      </w:pPr>
      <w:r>
        <w:rPr>
          <w:rFonts w:ascii="Calibri" w:cs="Calibri" w:eastAsia="Calibri" w:hAnsi="Calibri"/>
          <w:sz w:val="22"/>
          <w:szCs w:val="22"/>
        </w:rPr>
        <w:t xml:space="preserve">Prioritize open standards and open source tools to avoid vendor lock-in and facilitate long-term maintainability.</w:t>
      </w:r>
    </w:p>
    <w:p>
      <w:pPr>
        <w:pStyle w:val="ListParagraph"/>
        <w:numPr>
          <w:ilvl w:val="0"/>
          <w:numId w:val="2"/>
        </w:numPr>
        <w:spacing w:after="80" w:line="280"/>
      </w:pPr>
      <w:r>
        <w:rPr>
          <w:rFonts w:ascii="Calibri" w:cs="Calibri" w:eastAsia="Calibri" w:hAnsi="Calibri"/>
          <w:sz w:val="22"/>
          <w:szCs w:val="22"/>
        </w:rPr>
        <w:t xml:space="preserve">Invest early in MLOps practices (tracking, drift monitoring) to ensure long-term reliability of deployed models.</w:t>
      </w:r>
    </w:p>
    <w:p>
      <w:pPr>
        <w:pStyle w:val="ListParagraph"/>
        <w:numPr>
          <w:ilvl w:val="0"/>
          <w:numId w:val="2"/>
        </w:numPr>
        <w:spacing w:after="80" w:line="280"/>
      </w:pPr>
      <w:r>
        <w:rPr>
          <w:rFonts w:ascii="Calibri" w:cs="Calibri" w:eastAsia="Calibri" w:hAnsi="Calibri"/>
          <w:sz w:val="22"/>
          <w:szCs w:val="22"/>
        </w:rPr>
        <w:t xml:space="preserve">Maintain compliance awareness: AI Act, GDPR, and sector standards (EN 9100, IEC 62443) should inform architecture decisions from day one.</w:t>
      </w:r>
    </w:p>
    <w:p>
      <w:pPr>
        <w:pStyle w:val="ListParagraph"/>
        <w:numPr>
          <w:ilvl w:val="0"/>
          <w:numId w:val="2"/>
        </w:numPr>
        <w:spacing w:after="80" w:line="280"/>
      </w:pPr>
      <w:r>
        <w:rPr>
          <w:rFonts w:ascii="Calibri" w:cs="Calibri" w:eastAsia="Calibri" w:hAnsi="Calibri"/>
          <w:sz w:val="22"/>
          <w:szCs w:val="22"/>
        </w:rPr>
        <w:t xml:space="preserve">Plan for data architecture scaling: the current PoC stack (DuckDB, Parquet, MLflow) is well-suited for the pilot phase, but evolution toward a lakehouse (Iceberg, Databricks or equivalent) may be needed for the group-wide rollout.</w:t>
      </w:r>
    </w:p>
    <w:p>
      <w:pPr>
        <w:pStyle w:val="Heading1"/>
        <w:pageBreakBefore/>
        <w:spacing w:after="240" w:before="360"/>
      </w:pPr>
      <w:r>
        <w:rPr>
          <w:rFonts w:ascii="Calibri" w:cs="Calibri" w:eastAsia="Calibri" w:hAnsi="Calibri"/>
          <w:b/>
          <w:bCs/>
          <w:color w:val="1F3A5F"/>
          <w:sz w:val="32"/>
          <w:szCs w:val="32"/>
        </w:rPr>
        <w:t xml:space="preserve">7. Sources et references</w:t>
      </w:r>
    </w:p>
    <w:p>
      <w:pPr>
        <w:pStyle w:val="Heading2"/>
        <w:spacing w:after="160" w:before="300"/>
      </w:pPr>
      <w:r>
        <w:rPr>
          <w:rFonts w:ascii="Calibri" w:cs="Calibri" w:eastAsia="Calibri" w:hAnsi="Calibri"/>
          <w:b/>
          <w:bCs/>
          <w:color w:val="2E75B6"/>
          <w:sz w:val="26"/>
          <w:szCs w:val="26"/>
        </w:rPr>
        <w:t xml:space="preserve">7.1. Articles scientifiques</w:t>
      </w:r>
    </w:p>
    <w:p>
      <w:pPr>
        <w:pStyle w:val="ListParagraph"/>
        <w:numPr>
          <w:ilvl w:val="0"/>
          <w:numId w:val="2"/>
        </w:numPr>
        <w:spacing w:after="80" w:line="280"/>
      </w:pPr>
      <w:r>
        <w:rPr>
          <w:rFonts w:ascii="Calibri" w:cs="Calibri" w:eastAsia="Calibri" w:hAnsi="Calibri"/>
          <w:sz w:val="22"/>
          <w:szCs w:val="22"/>
        </w:rPr>
        <w:t xml:space="preserve">Grinsztajn, L., Oyallon, E., &amp; Varoquaux, G. (2022). Why do tree-based models still outperform deep learning on tabular data? NeurIPS 2022.</w:t>
      </w:r>
    </w:p>
    <w:p>
      <w:pPr>
        <w:pStyle w:val="ListParagraph"/>
        <w:numPr>
          <w:ilvl w:val="0"/>
          <w:numId w:val="2"/>
        </w:numPr>
        <w:spacing w:after="80" w:line="280"/>
      </w:pPr>
      <w:r>
        <w:rPr>
          <w:rFonts w:ascii="Calibri" w:cs="Calibri" w:eastAsia="Calibri" w:hAnsi="Calibri"/>
          <w:sz w:val="22"/>
          <w:szCs w:val="22"/>
        </w:rPr>
        <w:t xml:space="preserve">Borisov, V. et al. (2022). Deep Neural Networks and Tabular Data: A Survey. IEEE Transactions on Neural Networks and Learning Systems.</w:t>
      </w:r>
    </w:p>
    <w:p>
      <w:pPr>
        <w:pStyle w:val="ListParagraph"/>
        <w:numPr>
          <w:ilvl w:val="0"/>
          <w:numId w:val="2"/>
        </w:numPr>
        <w:spacing w:after="80" w:line="280"/>
      </w:pPr>
      <w:r>
        <w:rPr>
          <w:rFonts w:ascii="Calibri" w:cs="Calibri" w:eastAsia="Calibri" w:hAnsi="Calibri"/>
          <w:sz w:val="22"/>
          <w:szCs w:val="22"/>
        </w:rPr>
        <w:t xml:space="preserve">Saito, T., &amp; Rehmsmeier, M. (2015). The Precision-Recall Plot Is More Informative than the ROC Plot When Evaluating Binary Classifiers on Imbalanced Datasets. PLoS ONE.</w:t>
      </w:r>
    </w:p>
    <w:p>
      <w:pPr>
        <w:pStyle w:val="ListParagraph"/>
        <w:numPr>
          <w:ilvl w:val="0"/>
          <w:numId w:val="2"/>
        </w:numPr>
        <w:spacing w:after="80" w:line="280"/>
      </w:pPr>
      <w:r>
        <w:rPr>
          <w:rFonts w:ascii="Calibri" w:cs="Calibri" w:eastAsia="Calibri" w:hAnsi="Calibri"/>
          <w:sz w:val="22"/>
          <w:szCs w:val="22"/>
        </w:rPr>
        <w:t xml:space="preserve">Armbrust, M., Ghodsi, A., Xin, R., &amp; Zaharia, M. (2020). Lakehouse: A New Generation of Open Platforms that Unify Data Warehousing and Advanced Analytics. CIDR.</w:t>
      </w:r>
    </w:p>
    <w:p>
      <w:pPr>
        <w:pStyle w:val="Heading2"/>
        <w:spacing w:after="160" w:before="300"/>
      </w:pPr>
      <w:r>
        <w:rPr>
          <w:rFonts w:ascii="Calibri" w:cs="Calibri" w:eastAsia="Calibri" w:hAnsi="Calibri"/>
          <w:b/>
          <w:bCs/>
          <w:color w:val="2E75B6"/>
          <w:sz w:val="26"/>
          <w:szCs w:val="26"/>
        </w:rPr>
        <w:t xml:space="preserve">7.2. Documents reglementaires</w:t>
      </w:r>
    </w:p>
    <w:p>
      <w:pPr>
        <w:pStyle w:val="ListParagraph"/>
        <w:numPr>
          <w:ilvl w:val="0"/>
          <w:numId w:val="2"/>
        </w:numPr>
        <w:spacing w:after="80" w:line="280"/>
      </w:pPr>
      <w:r>
        <w:rPr>
          <w:rFonts w:ascii="Calibri" w:cs="Calibri" w:eastAsia="Calibri" w:hAnsi="Calibri"/>
          <w:sz w:val="22"/>
          <w:szCs w:val="22"/>
        </w:rPr>
        <w:t xml:space="preserve">Reglement (UE) 2016/679 du 27 avril 2016 (RGPD).</w:t>
      </w:r>
    </w:p>
    <w:p>
      <w:pPr>
        <w:pStyle w:val="ListParagraph"/>
        <w:numPr>
          <w:ilvl w:val="0"/>
          <w:numId w:val="2"/>
        </w:numPr>
        <w:spacing w:after="80" w:line="280"/>
      </w:pPr>
      <w:r>
        <w:rPr>
          <w:rFonts w:ascii="Calibri" w:cs="Calibri" w:eastAsia="Calibri" w:hAnsi="Calibri"/>
          <w:sz w:val="22"/>
          <w:szCs w:val="22"/>
        </w:rPr>
        <w:t xml:space="preserve">Reglement (UE) 2024/1689 du 13 juin 2024 (AI Act).</w:t>
      </w:r>
    </w:p>
    <w:p>
      <w:pPr>
        <w:pStyle w:val="ListParagraph"/>
        <w:numPr>
          <w:ilvl w:val="0"/>
          <w:numId w:val="2"/>
        </w:numPr>
        <w:spacing w:after="80" w:line="280"/>
      </w:pPr>
      <w:r>
        <w:rPr>
          <w:rFonts w:ascii="Calibri" w:cs="Calibri" w:eastAsia="Calibri" w:hAnsi="Calibri"/>
          <w:sz w:val="22"/>
          <w:szCs w:val="22"/>
        </w:rPr>
        <w:t xml:space="preserve">Norme EN 9100:2018 - Systeme de management de la qualite pour l'aeronautique.</w:t>
      </w:r>
    </w:p>
    <w:p>
      <w:pPr>
        <w:pStyle w:val="ListParagraph"/>
        <w:numPr>
          <w:ilvl w:val="0"/>
          <w:numId w:val="2"/>
        </w:numPr>
        <w:spacing w:after="80" w:line="280"/>
      </w:pPr>
      <w:r>
        <w:rPr>
          <w:rFonts w:ascii="Calibri" w:cs="Calibri" w:eastAsia="Calibri" w:hAnsi="Calibri"/>
          <w:sz w:val="22"/>
          <w:szCs w:val="22"/>
        </w:rPr>
        <w:t xml:space="preserve">Norme ISO 22400-2:2014 - Indicateurs cles de performance manufacturing.</w:t>
      </w:r>
    </w:p>
    <w:p>
      <w:pPr>
        <w:pStyle w:val="ListParagraph"/>
        <w:numPr>
          <w:ilvl w:val="0"/>
          <w:numId w:val="2"/>
        </w:numPr>
        <w:spacing w:after="80" w:line="280"/>
      </w:pPr>
      <w:r>
        <w:rPr>
          <w:rFonts w:ascii="Calibri" w:cs="Calibri" w:eastAsia="Calibri" w:hAnsi="Calibri"/>
          <w:sz w:val="22"/>
          <w:szCs w:val="22"/>
        </w:rPr>
        <w:t xml:space="preserve">Serie IEC 62443 - Securite des systemes d'automatisation et de controle industriels.</w:t>
      </w:r>
    </w:p>
    <w:p>
      <w:pPr>
        <w:pStyle w:val="Heading2"/>
        <w:spacing w:after="160" w:before="300"/>
      </w:pPr>
      <w:r>
        <w:rPr>
          <w:rFonts w:ascii="Calibri" w:cs="Calibri" w:eastAsia="Calibri" w:hAnsi="Calibri"/>
          <w:b/>
          <w:bCs/>
          <w:color w:val="2E75B6"/>
          <w:sz w:val="26"/>
          <w:szCs w:val="26"/>
        </w:rPr>
        <w:t xml:space="preserve">7.3. Documentation technique</w:t>
      </w:r>
    </w:p>
    <w:p>
      <w:pPr>
        <w:pStyle w:val="ListParagraph"/>
        <w:numPr>
          <w:ilvl w:val="0"/>
          <w:numId w:val="2"/>
        </w:numPr>
        <w:spacing w:after="80" w:line="280"/>
      </w:pPr>
      <w:r>
        <w:rPr>
          <w:rFonts w:ascii="Calibri" w:cs="Calibri" w:eastAsia="Calibri" w:hAnsi="Calibri"/>
          <w:sz w:val="22"/>
          <w:szCs w:val="22"/>
        </w:rPr>
        <w:t xml:space="preserve">Documentation XGBoost : https://xgboost.readthedocs.io</w:t>
      </w:r>
    </w:p>
    <w:p>
      <w:pPr>
        <w:pStyle w:val="ListParagraph"/>
        <w:numPr>
          <w:ilvl w:val="0"/>
          <w:numId w:val="2"/>
        </w:numPr>
        <w:spacing w:after="80" w:line="280"/>
      </w:pPr>
      <w:r>
        <w:rPr>
          <w:rFonts w:ascii="Calibri" w:cs="Calibri" w:eastAsia="Calibri" w:hAnsi="Calibri"/>
          <w:sz w:val="22"/>
          <w:szCs w:val="22"/>
        </w:rPr>
        <w:t xml:space="preserve">Documentation MLflow : https://mlflow.org/docs</w:t>
      </w:r>
    </w:p>
    <w:p>
      <w:pPr>
        <w:pStyle w:val="ListParagraph"/>
        <w:numPr>
          <w:ilvl w:val="0"/>
          <w:numId w:val="2"/>
        </w:numPr>
        <w:spacing w:after="80" w:line="280"/>
      </w:pPr>
      <w:r>
        <w:rPr>
          <w:rFonts w:ascii="Calibri" w:cs="Calibri" w:eastAsia="Calibri" w:hAnsi="Calibri"/>
          <w:sz w:val="22"/>
          <w:szCs w:val="22"/>
        </w:rPr>
        <w:t xml:space="preserve">Documentation DuckDB : https://duckdb.org/docs</w:t>
      </w:r>
    </w:p>
    <w:p>
      <w:pPr>
        <w:pStyle w:val="ListParagraph"/>
        <w:numPr>
          <w:ilvl w:val="0"/>
          <w:numId w:val="2"/>
        </w:numPr>
        <w:spacing w:after="80" w:line="280"/>
      </w:pPr>
      <w:r>
        <w:rPr>
          <w:rFonts w:ascii="Calibri" w:cs="Calibri" w:eastAsia="Calibri" w:hAnsi="Calibri"/>
          <w:sz w:val="22"/>
          <w:szCs w:val="22"/>
        </w:rPr>
        <w:t xml:space="preserve">Documentation Streamlit : https://docs.streamlit.io</w:t>
      </w:r>
    </w:p>
    <w:p>
      <w:pPr>
        <w:pStyle w:val="ListParagraph"/>
        <w:numPr>
          <w:ilvl w:val="0"/>
          <w:numId w:val="2"/>
        </w:numPr>
        <w:spacing w:after="80" w:line="280"/>
      </w:pPr>
      <w:r>
        <w:rPr>
          <w:rFonts w:ascii="Calibri" w:cs="Calibri" w:eastAsia="Calibri" w:hAnsi="Calibri"/>
          <w:sz w:val="22"/>
          <w:szCs w:val="22"/>
        </w:rPr>
        <w:t xml:space="preserve">UCI ML Repository - AI4I 2020 Dataset : https://archive.ics.uci.edu/dataset/601</w:t>
      </w:r>
    </w:p>
    <w:p>
      <w:pPr>
        <w:spacing w:after="120" w:line="300"/>
        <w:jc w:val="center"/>
      </w:pPr>
      <w:r>
        <w:rPr>
          <w:rFonts w:ascii="Calibri" w:cs="Calibri" w:eastAsia="Calibri" w:hAnsi="Calibri"/>
          <w:sz w:val="22"/>
          <w:szCs w:val="22"/>
        </w:rPr>
        <w:t xml:space="preserve"/>
      </w:r>
    </w:p>
    <w:p>
      <w:pPr>
        <w:spacing w:after="120" w:line="300"/>
        <w:jc w:val="center"/>
      </w:pPr>
      <w:r>
        <w:rPr>
          <w:rFonts w:ascii="Calibri" w:cs="Calibri" w:eastAsia="Calibri" w:hAnsi="Calibri"/>
          <w:i/>
          <w:iCs/>
          <w:color w:val="5A6B7C"/>
          <w:sz w:val="22"/>
          <w:szCs w:val="22"/>
        </w:rPr>
        <w:t xml:space="preserve">Romaric TCHOFFO &amp; Emmanuel AMEGA</w:t>
      </w:r>
    </w:p>
    <w:p>
      <w:pPr>
        <w:spacing w:after="120" w:line="300"/>
        <w:jc w:val="center"/>
      </w:pPr>
      <w:r>
        <w:rPr>
          <w:rFonts w:ascii="Calibri" w:cs="Calibri" w:eastAsia="Calibri" w:hAnsi="Calibri"/>
          <w:i/>
          <w:iCs/>
          <w:color w:val="5A6B7C"/>
          <w:sz w:val="22"/>
          <w:szCs w:val="22"/>
        </w:rPr>
        <w:t xml:space="preserve">EPSI - Mastere Expert en Intelligence Artificielle - 2025/2026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8"/>
        <w:szCs w:val="18"/>
      </w:rPr>
      <w:t xml:space="preserve">Page </w:t>
    </w:r>
    <w:r>
      <w:rPr>
        <w:rFonts w:ascii="Calibri" w:cs="Calibri" w:eastAsia="Calibri" w:hAnsi="Calibri"/>
        <w:color w:val="5A6B7C"/>
        <w:sz w:val="18"/>
        <w:szCs w:val="18"/>
      </w:rPr>
      <w:fldChar w:fldCharType="begin"/>
      <w:instrText xml:space="preserve">PAGE</w:instrText>
      <w:fldChar w:fldCharType="separate"/>
      <w:fldChar w:fldCharType="end"/>
    </w:r>
    <w:r>
      <w:rPr>
        <w:rFonts w:ascii="Calibri" w:cs="Calibri" w:eastAsia="Calibri" w:hAnsi="Calibri"/>
        <w:color w:val="5A6B7C"/>
        <w:sz w:val="18"/>
        <w:szCs w:val="18"/>
      </w:rPr>
      <w:t xml:space="preserve"> sur </w:t>
    </w:r>
    <w:r>
      <w:rPr>
        <w:rFonts w:ascii="Calibri" w:cs="Calibri" w:eastAsia="Calibri" w:hAnsi="Calibri"/>
        <w:color w:val="5A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5A6B7C"/>
        <w:sz w:val="18"/>
        <w:szCs w:val="18"/>
      </w:rPr>
      <w:t xml:space="preserve">MSPR TPRE831 - Dossier de veille - Romaric TCHOFFO &amp; Emmanuel AMEGA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3A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veille</dc:title>
  <dc:creator>Romaric TCHOFFO &amp; Emmanuel AMEGA</dc:creator>
  <dc:description>Livrable MSPR TPRE831 - Projet MECHA</dc:description>
  <cp:lastModifiedBy>Un-named</cp:lastModifiedBy>
  <cp:revision>1</cp:revision>
  <dcterms:created xsi:type="dcterms:W3CDTF">2026-04-21T05:11:12.218Z</dcterms:created>
  <dcterms:modified xsi:type="dcterms:W3CDTF">2026-04-21T05:11:12.219Z</dcterms:modified>
</cp:coreProperties>
</file>

<file path=docProps/custom.xml><?xml version="1.0" encoding="utf-8"?>
<Properties xmlns="http://schemas.openxmlformats.org/officeDocument/2006/custom-properties" xmlns:vt="http://schemas.openxmlformats.org/officeDocument/2006/docPropsVTypes"/>
</file>