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390E" w:rsidRDefault="00BC390E">
      <w:pPr>
        <w:spacing w:before="1800"/>
      </w:pPr>
    </w:p>
    <w:p w:rsidR="00BC390E" w:rsidRDefault="00A20F28">
      <w:pPr>
        <w:spacing w:after="200"/>
        <w:jc w:val="center"/>
      </w:pPr>
      <w:r>
        <w:rPr>
          <w:b/>
          <w:bCs/>
          <w:color w:val="2E75B6"/>
          <w:sz w:val="28"/>
          <w:szCs w:val="28"/>
        </w:rPr>
        <w:t>LIVRABLE 06</w:t>
      </w:r>
    </w:p>
    <w:p w:rsidR="00BC390E" w:rsidRDefault="00A20F28">
      <w:pPr>
        <w:spacing w:after="200"/>
        <w:jc w:val="center"/>
      </w:pPr>
      <w:r>
        <w:rPr>
          <w:b/>
          <w:bCs/>
          <w:color w:val="1F3A5F"/>
          <w:sz w:val="48"/>
          <w:szCs w:val="48"/>
        </w:rPr>
        <w:t>Note de faisabilite</w:t>
      </w:r>
    </w:p>
    <w:p w:rsidR="00BC390E" w:rsidRDefault="00A20F28">
      <w:pPr>
        <w:spacing w:after="800"/>
        <w:jc w:val="center"/>
      </w:pPr>
      <w:r>
        <w:rPr>
          <w:i/>
          <w:iCs/>
          <w:color w:val="5A6B7C"/>
          <w:sz w:val="28"/>
          <w:szCs w:val="28"/>
        </w:rPr>
        <w:t>Synthese decisionnelle pour la Direction generale</w:t>
      </w:r>
    </w:p>
    <w:p w:rsidR="00BC390E" w:rsidRDefault="00A20F28">
      <w:pPr>
        <w:spacing w:after="400"/>
        <w:jc w:val="center"/>
      </w:pPr>
      <w:r>
        <w:rPr>
          <w:color w:val="2E75B6"/>
        </w:rPr>
        <w:t>━━━━━━━━━━━━━━━━━━━━━━━━━━━━━━━━━━━</w:t>
      </w:r>
    </w:p>
    <w:p w:rsidR="00BC390E" w:rsidRDefault="00A20F28">
      <w:pPr>
        <w:spacing w:after="120"/>
        <w:jc w:val="center"/>
      </w:pPr>
      <w:r>
        <w:rPr>
          <w:b/>
          <w:bCs/>
          <w:sz w:val="28"/>
          <w:szCs w:val="28"/>
        </w:rPr>
        <w:t>Projet MECHA</w:t>
      </w:r>
    </w:p>
    <w:p w:rsidR="00BC390E" w:rsidRDefault="00A20F28">
      <w:pPr>
        <w:spacing w:after="400"/>
        <w:jc w:val="center"/>
      </w:pPr>
      <w:r>
        <w:rPr>
          <w:i/>
          <w:iCs/>
          <w:color w:val="5A6B7C"/>
          <w:sz w:val="24"/>
          <w:szCs w:val="24"/>
        </w:rPr>
        <w:t>PoC Pilotage industriel et IA predictive</w:t>
      </w:r>
    </w:p>
    <w:p w:rsidR="00BC390E" w:rsidRDefault="00A20F28">
      <w:pPr>
        <w:spacing w:after="120"/>
        <w:jc w:val="center"/>
      </w:pPr>
      <w:r>
        <w:t>MSPR TPRE831 - Bloc 3</w:t>
      </w:r>
    </w:p>
    <w:p w:rsidR="00BC390E" w:rsidRDefault="00A20F28">
      <w:pPr>
        <w:spacing w:after="600"/>
        <w:jc w:val="center"/>
      </w:pPr>
      <w:r>
        <w:rPr>
          <w:color w:val="5A6B7C"/>
          <w:sz w:val="20"/>
          <w:szCs w:val="20"/>
        </w:rPr>
        <w:t>Certification RNCP 35584 - Expert en Informatique et Systeme d'Information</w:t>
      </w:r>
    </w:p>
    <w:p w:rsidR="00BC390E" w:rsidRDefault="00A20F28">
      <w:pPr>
        <w:spacing w:after="400"/>
        <w:jc w:val="center"/>
      </w:pPr>
      <w:r>
        <w:rPr>
          <w:color w:val="2E75B6"/>
        </w:rPr>
        <w:t>━━━━━━━━━━━━━━━━━━━━━━━━━━━━━━━━━━━</w:t>
      </w:r>
    </w:p>
    <w:p w:rsidR="00BC390E" w:rsidRDefault="00A20F28">
      <w:pPr>
        <w:spacing w:after="160"/>
        <w:jc w:val="center"/>
      </w:pPr>
      <w:r>
        <w:rPr>
          <w:b/>
          <w:bCs/>
        </w:rPr>
        <w:t>Equipe projet</w:t>
      </w:r>
    </w:p>
    <w:p w:rsidR="00BC390E" w:rsidRDefault="00A20F28">
      <w:pPr>
        <w:spacing w:after="80"/>
        <w:jc w:val="center"/>
      </w:pPr>
      <w:r>
        <w:rPr>
          <w:b/>
          <w:bCs/>
          <w:sz w:val="24"/>
          <w:szCs w:val="24"/>
        </w:rPr>
        <w:t>Romaric TCHOFFO</w:t>
      </w:r>
    </w:p>
    <w:p w:rsidR="00BC390E" w:rsidRDefault="00766DB4">
      <w:pPr>
        <w:spacing w:after="600"/>
        <w:jc w:val="center"/>
      </w:pPr>
      <w:r>
        <w:rPr>
          <w:b/>
          <w:bCs/>
          <w:sz w:val="24"/>
          <w:szCs w:val="24"/>
        </w:rPr>
        <w:t>Emmanuel AN</w:t>
      </w:r>
      <w:bookmarkStart w:id="0" w:name="_GoBack"/>
      <w:bookmarkEnd w:id="0"/>
      <w:r w:rsidR="00A20F28">
        <w:rPr>
          <w:b/>
          <w:bCs/>
          <w:sz w:val="24"/>
          <w:szCs w:val="24"/>
        </w:rPr>
        <w:t>EGA</w:t>
      </w:r>
    </w:p>
    <w:p w:rsidR="00BC390E" w:rsidRDefault="00A20F28">
      <w:pPr>
        <w:jc w:val="center"/>
      </w:pPr>
      <w:r>
        <w:rPr>
          <w:color w:val="5A6B7C"/>
          <w:sz w:val="20"/>
          <w:szCs w:val="20"/>
        </w:rPr>
        <w:t>EPSI - Mastere Expert en Intelligence Artificielle - 2025/2026</w:t>
      </w:r>
    </w:p>
    <w:p w:rsidR="00BC390E" w:rsidRDefault="00BC390E">
      <w:pPr>
        <w:jc w:val="center"/>
      </w:pPr>
    </w:p>
    <w:p w:rsidR="00BC390E" w:rsidRDefault="00A20F28">
      <w:pPr>
        <w:jc w:val="center"/>
      </w:pPr>
      <w:r>
        <w:rPr>
          <w:rFonts w:ascii="Arial" w:hAnsi="Arial"/>
          <w:color w:val="555555"/>
        </w:rPr>
        <w:t>Coach pédagogique</w:t>
      </w:r>
    </w:p>
    <w:p w:rsidR="00BC390E" w:rsidRDefault="00A20F28">
      <w:pPr>
        <w:jc w:val="center"/>
      </w:pPr>
      <w:r>
        <w:rPr>
          <w:rFonts w:ascii="Arial" w:hAnsi="Arial"/>
          <w:b/>
          <w:color w:val="E31B23"/>
          <w:sz w:val="28"/>
        </w:rPr>
        <w:t>Tesnim CHARRAD</w:t>
      </w:r>
    </w:p>
    <w:p w:rsidR="00BC390E" w:rsidRDefault="00BC390E">
      <w:pPr>
        <w:jc w:val="center"/>
      </w:pPr>
    </w:p>
    <w:p w:rsidR="00BC390E" w:rsidRDefault="00A20F28">
      <w:pPr>
        <w:pStyle w:val="Titre1"/>
        <w:pageBreakBefore/>
      </w:pPr>
      <w:bookmarkStart w:id="1" w:name="_Toc228881913"/>
      <w:r>
        <w:lastRenderedPageBreak/>
        <w:t>Sommaire</w:t>
      </w:r>
      <w:bookmarkEnd w:id="1"/>
    </w:p>
    <w:sdt>
      <w:sdtPr>
        <w:alias w:val="Table des matieres"/>
        <w:id w:val="-1675260293"/>
      </w:sdtPr>
      <w:sdtEndPr/>
      <w:sdtContent>
        <w:p w:rsidR="00766DB4" w:rsidRDefault="00A20F28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881913" w:history="1">
            <w:r w:rsidR="00766DB4" w:rsidRPr="005846FD">
              <w:rPr>
                <w:rStyle w:val="Lienhypertexte"/>
                <w:noProof/>
              </w:rPr>
              <w:t>Sommaire</w:t>
            </w:r>
            <w:r w:rsidR="00766DB4">
              <w:rPr>
                <w:noProof/>
              </w:rPr>
              <w:tab/>
            </w:r>
            <w:r w:rsidR="00766DB4">
              <w:rPr>
                <w:noProof/>
              </w:rPr>
              <w:fldChar w:fldCharType="begin"/>
            </w:r>
            <w:r w:rsidR="00766DB4">
              <w:rPr>
                <w:noProof/>
              </w:rPr>
              <w:instrText xml:space="preserve"> PAGEREF _Toc228881913 \h </w:instrText>
            </w:r>
            <w:r w:rsidR="00766DB4">
              <w:rPr>
                <w:noProof/>
              </w:rPr>
            </w:r>
            <w:r w:rsidR="00766DB4">
              <w:rPr>
                <w:noProof/>
              </w:rPr>
              <w:fldChar w:fldCharType="separate"/>
            </w:r>
            <w:r w:rsidR="00766DB4">
              <w:rPr>
                <w:noProof/>
              </w:rPr>
              <w:t>2</w:t>
            </w:r>
            <w:r w:rsidR="00766DB4"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914" w:history="1">
            <w:r w:rsidRPr="005846FD">
              <w:rPr>
                <w:rStyle w:val="Lienhypertexte"/>
                <w:noProof/>
              </w:rPr>
              <w:t>1. Synthese a l'attention de la Direction generale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15" w:history="1">
            <w:r w:rsidRPr="005846FD">
              <w:rPr>
                <w:rStyle w:val="Lienhypertexte"/>
                <w:noProof/>
              </w:rPr>
              <w:t>1.1. Recommandation principale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16" w:history="1">
            <w:r w:rsidRPr="005846FD">
              <w:rPr>
                <w:rStyle w:val="Lienhypertexte"/>
                <w:noProof/>
              </w:rPr>
              <w:t>1.2. Chiffres cles du PoC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917" w:history="1">
            <w:r w:rsidRPr="005846FD">
              <w:rPr>
                <w:rStyle w:val="Lienhypertexte"/>
                <w:noProof/>
              </w:rPr>
              <w:t>2. Faisabilite technique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18" w:history="1">
            <w:r w:rsidRPr="005846FD">
              <w:rPr>
                <w:rStyle w:val="Lienhypertexte"/>
                <w:noProof/>
              </w:rPr>
              <w:t>2.1. Architecture validee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19" w:history="1">
            <w:r w:rsidRPr="005846FD">
              <w:rPr>
                <w:rStyle w:val="Lienhypertexte"/>
                <w:noProof/>
              </w:rPr>
              <w:t>2.2. Chaine de donnees testee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0" w:history="1">
            <w:r w:rsidRPr="005846FD">
              <w:rPr>
                <w:rStyle w:val="Lienhypertexte"/>
                <w:noProof/>
              </w:rPr>
              <w:t>2.3. Performance du modele 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1" w:history="1">
            <w:r w:rsidRPr="005846FD">
              <w:rPr>
                <w:rStyle w:val="Lienhypertexte"/>
                <w:noProof/>
              </w:rPr>
              <w:t>2.4. Robustesse aux donnees degradees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922" w:history="1">
            <w:r w:rsidRPr="005846FD">
              <w:rPr>
                <w:rStyle w:val="Lienhypertexte"/>
                <w:noProof/>
              </w:rPr>
              <w:t>3. Faisabilite metier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3" w:history="1">
            <w:r w:rsidRPr="005846FD">
              <w:rPr>
                <w:rStyle w:val="Lienhypertexte"/>
                <w:noProof/>
              </w:rPr>
              <w:t>3.1. Couverture des besoins exprimes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4" w:history="1">
            <w:r w:rsidRPr="005846FD">
              <w:rPr>
                <w:rStyle w:val="Lienhypertexte"/>
                <w:noProof/>
              </w:rPr>
              <w:t>3.2. Adequation au profil utilisateur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5" w:history="1">
            <w:r w:rsidRPr="005846FD">
              <w:rPr>
                <w:rStyle w:val="Lienhypertexte"/>
                <w:noProof/>
              </w:rPr>
              <w:t>3.3. Valeur ajoutee attendue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926" w:history="1">
            <w:r w:rsidRPr="005846FD">
              <w:rPr>
                <w:rStyle w:val="Lienhypertexte"/>
                <w:noProof/>
              </w:rPr>
              <w:t>4. Faisabilite organisationnelle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7" w:history="1">
            <w:r w:rsidRPr="005846FD">
              <w:rPr>
                <w:rStyle w:val="Lienhypertexte"/>
                <w:noProof/>
              </w:rPr>
              <w:t>4.1. Prerequis organisationnels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8" w:history="1">
            <w:r w:rsidRPr="005846FD">
              <w:rPr>
                <w:rStyle w:val="Lienhypertexte"/>
                <w:noProof/>
              </w:rPr>
              <w:t>4.2. Strategie de conduite du changement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29" w:history="1">
            <w:r w:rsidRPr="005846FD">
              <w:rPr>
                <w:rStyle w:val="Lienhypertexte"/>
                <w:noProof/>
              </w:rPr>
              <w:t>4.3. Governance cible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930" w:history="1">
            <w:r w:rsidRPr="005846FD">
              <w:rPr>
                <w:rStyle w:val="Lienhypertexte"/>
                <w:noProof/>
              </w:rPr>
              <w:t>5. Faisabilite economique et ROI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31" w:history="1">
            <w:r w:rsidRPr="005846FD">
              <w:rPr>
                <w:rStyle w:val="Lienhypertexte"/>
                <w:noProof/>
              </w:rPr>
              <w:t>5.1. Investissement cumule estime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32" w:history="1">
            <w:r w:rsidRPr="005846FD">
              <w:rPr>
                <w:rStyle w:val="Lienhypertexte"/>
                <w:noProof/>
              </w:rPr>
              <w:t>5.2. Gains annuels estimes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33" w:history="1">
            <w:r w:rsidRPr="005846FD">
              <w:rPr>
                <w:rStyle w:val="Lienhypertexte"/>
                <w:noProof/>
              </w:rPr>
              <w:t>5.3. Retour sur investissement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34" w:history="1">
            <w:r w:rsidRPr="005846FD">
              <w:rPr>
                <w:rStyle w:val="Lienhypertexte"/>
                <w:noProof/>
              </w:rPr>
              <w:t>5.4. Benefices non monetaires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935" w:history="1">
            <w:r w:rsidRPr="005846FD">
              <w:rPr>
                <w:rStyle w:val="Lienhypertexte"/>
                <w:noProof/>
              </w:rPr>
              <w:t>6. Feuille de route proposee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36" w:history="1">
            <w:r w:rsidRPr="005846FD">
              <w:rPr>
                <w:rStyle w:val="Lienhypertexte"/>
                <w:noProof/>
              </w:rPr>
              <w:t>6.1. Phases d'industrialisation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37" w:history="1">
            <w:r w:rsidRPr="005846FD">
              <w:rPr>
                <w:rStyle w:val="Lienhypertexte"/>
                <w:noProof/>
              </w:rPr>
              <w:t>6.2. Jalons cles de la phase pilote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38" w:history="1">
            <w:r w:rsidRPr="005846FD">
              <w:rPr>
                <w:rStyle w:val="Lienhypertexte"/>
                <w:noProof/>
              </w:rPr>
              <w:t>6.3. Points de controle et arbitrages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939" w:history="1">
            <w:r w:rsidRPr="005846FD">
              <w:rPr>
                <w:rStyle w:val="Lienhypertexte"/>
                <w:noProof/>
              </w:rPr>
              <w:t>7. Conclusion et demande de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40" w:history="1">
            <w:r w:rsidRPr="005846FD">
              <w:rPr>
                <w:rStyle w:val="Lienhypertexte"/>
                <w:noProof/>
              </w:rPr>
              <w:t>7.1. Synthese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41" w:history="1">
            <w:r w:rsidRPr="005846FD">
              <w:rPr>
                <w:rStyle w:val="Lienhypertexte"/>
                <w:noProof/>
              </w:rPr>
              <w:t>7.2. Demande de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766DB4" w:rsidRDefault="00766DB4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942" w:history="1">
            <w:r w:rsidRPr="005846FD">
              <w:rPr>
                <w:rStyle w:val="Lienhypertexte"/>
                <w:noProof/>
              </w:rPr>
              <w:t>7.3. Prochaines etapes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BC390E" w:rsidRDefault="00A20F28">
          <w:r>
            <w:fldChar w:fldCharType="end"/>
          </w:r>
        </w:p>
      </w:sdtContent>
    </w:sdt>
    <w:p w:rsidR="00BC390E" w:rsidRDefault="00A20F28">
      <w:pPr>
        <w:pStyle w:val="Titre1"/>
        <w:pageBreakBefore/>
      </w:pPr>
      <w:bookmarkStart w:id="2" w:name="_Toc228881914"/>
      <w:r>
        <w:lastRenderedPageBreak/>
        <w:t>1. Synthese a l'attention de la Direction generale</w:t>
      </w:r>
      <w:bookmarkEnd w:id="2"/>
    </w:p>
    <w:p w:rsidR="00BC390E" w:rsidRDefault="00A20F28">
      <w:pPr>
        <w:spacing w:after="120" w:line="300" w:lineRule="auto"/>
        <w:jc w:val="both"/>
      </w:pPr>
      <w:r>
        <w:t>La Direction generale de MECHA a engage au debut de l'exercice une reflexion sur la modernisation du pilotage industriel du groupe. Le Proof of Concept realise sur les usines FR-01 et ES-01 apporte les elements de decision necessaires a l'arbitrage d'un la</w:t>
      </w:r>
      <w:r>
        <w:t>ncement en phase pilote puis en generalisation sur les cinq sites.</w:t>
      </w:r>
    </w:p>
    <w:p w:rsidR="00BC390E" w:rsidRDefault="00A20F28">
      <w:pPr>
        <w:spacing w:after="120" w:line="300" w:lineRule="auto"/>
        <w:jc w:val="both"/>
      </w:pPr>
      <w:r>
        <w:t>Le bilan du PoC est positif sur l'ensemble des dimensions techniques, metier et organisationnelles. La faisabilite de l'approche est demontree, les bases techniques sont solides et le retou</w:t>
      </w:r>
      <w:r>
        <w:t>r sur investissement est attractif. Cette note formalise la recommandation de l'equipe projet.</w:t>
      </w:r>
    </w:p>
    <w:p w:rsidR="00BC390E" w:rsidRDefault="00A20F28">
      <w:pPr>
        <w:pStyle w:val="Titre2"/>
      </w:pPr>
      <w:bookmarkStart w:id="3" w:name="_Toc228881915"/>
      <w:r>
        <w:t>1.1. Recommandation principale</w:t>
      </w:r>
      <w:bookmarkEnd w:id="3"/>
    </w:p>
    <w:p w:rsidR="00BC390E" w:rsidRDefault="00A20F28">
      <w:pPr>
        <w:jc w:val="center"/>
      </w:pPr>
      <w:r>
        <w:rPr>
          <w:noProof/>
        </w:rPr>
        <w:drawing>
          <wp:inline distT="0" distB="0" distL="0" distR="0">
            <wp:extent cx="5303520" cy="17328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shboard_home_kpi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90E" w:rsidRDefault="00A20F28">
      <w:pPr>
        <w:jc w:val="center"/>
      </w:pPr>
      <w:r>
        <w:rPr>
          <w:i/>
          <w:sz w:val="18"/>
        </w:rPr>
        <w:t>Figure - Vue synthetique du PoC : dashboard Groupe avec indicateurs consolides, perimetre FR-01 + ES-01</w:t>
      </w:r>
    </w:p>
    <w:p w:rsidR="00BC390E" w:rsidRDefault="00A20F28">
      <w:pPr>
        <w:spacing w:after="120" w:line="300" w:lineRule="auto"/>
        <w:jc w:val="both"/>
      </w:pPr>
      <w:r>
        <w:t>L'equipe recommande a la</w:t>
      </w:r>
      <w:r>
        <w:t xml:space="preserve"> Direction generale de LANCER la phase pilote (phase 2) sur les usines FR-01 et ES-01 en conditions de production reelles, avec une duree de 6 mois et un budget estime entre 100 et 165 k EUR, en vue d'une generalisation aux trois sites restants en phase 3.</w:t>
      </w:r>
    </w:p>
    <w:p w:rsidR="00BC390E" w:rsidRDefault="00A20F28">
      <w:pPr>
        <w:spacing w:after="120" w:line="300" w:lineRule="auto"/>
        <w:jc w:val="both"/>
      </w:pPr>
      <w:r>
        <w:t>Cette recommandation repose sur quatre constats issus du PoC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La faisabilite technique est demontree : l'architecture et la stack technologique sont adaptees au contexte MECHA.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La valeur metier est mesurable : les indicateurs prevus sont tous calculables</w:t>
      </w:r>
      <w:r>
        <w:t>, le modele predictif depasse largement les seuils de performance requis.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Le risque d'echec est faible et bien identifie : les principaux risques ont ete cartographies et des mesures de mitigation sont proposees.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Le retour sur investissement est rapide : 4</w:t>
      </w:r>
      <w:r>
        <w:t xml:space="preserve"> a 6 mois selon les hypotheses, avec des gains recurrents ensuite.</w:t>
      </w:r>
    </w:p>
    <w:p w:rsidR="00BC390E" w:rsidRDefault="00A20F28">
      <w:pPr>
        <w:pStyle w:val="Titre2"/>
      </w:pPr>
      <w:bookmarkStart w:id="4" w:name="_Toc228881916"/>
      <w:r>
        <w:t>1.2. Chiffres cles du PoC</w:t>
      </w:r>
      <w:bookmarkEnd w:id="4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4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Indicateur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Couverture de la grille de competences MSPR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9 / 9 (100 %)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Qualite des donnees apres nettoyage (completude)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100 %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Performance du modele predictif (PR-AUC)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0,705 (seuil requis &gt; 0,5)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lastRenderedPageBreak/>
              <w:t>Rappel sur la classe panne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82 %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Precision sur la classe panne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60 %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Pages dashboard livrees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5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Notebooks executables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9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Livrables documentaires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6 + rapport de soutenance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1"/>
        <w:pageBreakBefore/>
      </w:pPr>
      <w:bookmarkStart w:id="5" w:name="_Toc228881917"/>
      <w:r>
        <w:lastRenderedPageBreak/>
        <w:t>2. Faisabilite technique</w:t>
      </w:r>
      <w:bookmarkEnd w:id="5"/>
    </w:p>
    <w:p w:rsidR="00BC390E" w:rsidRDefault="00A20F28">
      <w:pPr>
        <w:pStyle w:val="Titre2"/>
      </w:pPr>
      <w:bookmarkStart w:id="6" w:name="_Toc228881918"/>
      <w:r>
        <w:t>2.1. Architecture validee</w:t>
      </w:r>
      <w:bookmarkEnd w:id="6"/>
    </w:p>
    <w:p w:rsidR="00BC390E" w:rsidRDefault="00A20F28">
      <w:pPr>
        <w:jc w:val="center"/>
      </w:pPr>
      <w:r>
        <w:rPr>
          <w:noProof/>
        </w:rPr>
        <w:drawing>
          <wp:inline distT="0" distB="0" distL="0" distR="0">
            <wp:extent cx="5303520" cy="28573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github_repo_msp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90E" w:rsidRDefault="00A20F28">
      <w:pPr>
        <w:jc w:val="center"/>
      </w:pPr>
      <w:r>
        <w:rPr>
          <w:i/>
          <w:sz w:val="18"/>
        </w:rPr>
        <w:t>Figure - Architecture validee : depot de code complet sur GitHub (notebooks, dashboards, livrables, data) avec gouvernance technique</w:t>
      </w:r>
    </w:p>
    <w:p w:rsidR="00BC390E" w:rsidRDefault="00A20F28">
      <w:pPr>
        <w:spacing w:after="120" w:line="300" w:lineRule="auto"/>
        <w:jc w:val="both"/>
      </w:pPr>
      <w:r>
        <w:t>L'architecture en medaille (bronze, silver, gold) associee a un entrep</w:t>
      </w:r>
      <w:r>
        <w:t>ot multidimensionnel en etoile a fait ses preuves sur le perimetre du PoC. Elle se revele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Suffisamment simple pour etre maintenue par une petite equipe data.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Suffisamment structurante pour garantir la tracabilite et la reproductibilite.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Evolutive : les c</w:t>
      </w:r>
      <w:r>
        <w:t>omposants peuvent etre remplaces un par un sans refonte globale.</w:t>
      </w:r>
    </w:p>
    <w:p w:rsidR="00BC390E" w:rsidRDefault="00A20F28">
      <w:pPr>
        <w:pStyle w:val="Titre2"/>
      </w:pPr>
      <w:bookmarkStart w:id="7" w:name="_Toc228881919"/>
      <w:r>
        <w:t>2.2. Chaine de donnees testee</w:t>
      </w:r>
      <w:bookmarkEnd w:id="7"/>
    </w:p>
    <w:p w:rsidR="00BC390E" w:rsidRDefault="00A20F28">
      <w:pPr>
        <w:jc w:val="center"/>
      </w:pPr>
      <w:r>
        <w:rPr>
          <w:noProof/>
        </w:rPr>
        <w:drawing>
          <wp:inline distT="0" distB="0" distL="0" distR="0">
            <wp:extent cx="5303520" cy="17159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ashboard_qualite_comparati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90E" w:rsidRDefault="00A20F28">
      <w:pPr>
        <w:jc w:val="center"/>
      </w:pPr>
      <w:r>
        <w:rPr>
          <w:i/>
          <w:sz w:val="18"/>
        </w:rPr>
        <w:t>Figure - Chaine de donnees testee : pipeline bronze -&gt; silver -&gt; gold operationnel, completude passee a 100 %</w:t>
      </w:r>
    </w:p>
    <w:p w:rsidR="00BC390E" w:rsidRDefault="00A20F28">
      <w:pPr>
        <w:spacing w:after="120" w:line="300" w:lineRule="auto"/>
        <w:jc w:val="both"/>
      </w:pPr>
      <w:r>
        <w:t xml:space="preserve">L'ensemble de la chaine de valeur de la donnee a </w:t>
      </w:r>
      <w:r>
        <w:t>ete testee avec succes :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000"/>
        <w:gridCol w:w="29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Etape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Ingestion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Python + Parquet + DVC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Operationnel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Qualite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Pandera + regles custom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Operationnel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lastRenderedPageBreak/>
              <w:t>Transformation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Pandas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Operationnel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Stockage analytique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DuckDB + modele etoile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Operationnel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Machine Learning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scikit-learn + XGBoost + MLflow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Operationnel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Alertes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Moteur 3 couches (regles + stat + ML)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Operationnel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Restitution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Streamlit + Plotly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Operationnel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2"/>
      </w:pPr>
      <w:bookmarkStart w:id="8" w:name="_Toc228881920"/>
      <w:r>
        <w:t>2.3. Performance du modele ML</w:t>
      </w:r>
      <w:bookmarkEnd w:id="8"/>
    </w:p>
    <w:p w:rsidR="00BC390E" w:rsidRDefault="00A20F28">
      <w:pPr>
        <w:jc w:val="center"/>
      </w:pPr>
      <w:r>
        <w:rPr>
          <w:noProof/>
        </w:rPr>
        <w:drawing>
          <wp:inline distT="0" distB="0" distL="0" distR="0">
            <wp:extent cx="5303520" cy="427326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notebook_matrice_confusion_xg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7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90E" w:rsidRDefault="00A20F28">
      <w:pPr>
        <w:jc w:val="center"/>
      </w:pPr>
      <w:r>
        <w:rPr>
          <w:i/>
          <w:sz w:val="18"/>
        </w:rPr>
        <w:t>Figure - Matrice de confusion XGBoost : 43 pannes correctement detectees</w:t>
      </w:r>
      <w:r>
        <w:rPr>
          <w:i/>
          <w:sz w:val="18"/>
        </w:rPr>
        <w:t xml:space="preserve"> sur 66 reelles (recall 65,2 %), 21 fausses alertes sur 1 948 negatifs</w:t>
      </w:r>
    </w:p>
    <w:p w:rsidR="00BC390E" w:rsidRDefault="00A20F28">
      <w:pPr>
        <w:jc w:val="center"/>
      </w:pPr>
      <w:r>
        <w:rPr>
          <w:noProof/>
        </w:rPr>
        <w:drawing>
          <wp:inline distT="0" distB="0" distL="0" distR="0">
            <wp:extent cx="5303520" cy="17082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dashboard_ia_benchmark_mode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0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90E" w:rsidRDefault="00A20F28">
      <w:pPr>
        <w:jc w:val="center"/>
      </w:pPr>
      <w:r>
        <w:rPr>
          <w:i/>
          <w:sz w:val="18"/>
        </w:rPr>
        <w:t>Figure - Performance du modele ML : PR-AUC 0,705 pour XGBoost, soit un depassement de 41 % du seuil MSPR (0,5)</w:t>
      </w:r>
    </w:p>
    <w:p w:rsidR="00BC390E" w:rsidRDefault="00A20F28">
      <w:pPr>
        <w:spacing w:after="120" w:line="300" w:lineRule="auto"/>
        <w:jc w:val="both"/>
      </w:pPr>
      <w:r>
        <w:lastRenderedPageBreak/>
        <w:t>Le modele XGBoost retenu atteint un PR-AUC de 0,705, soit un depassement</w:t>
      </w:r>
      <w:r>
        <w:t xml:space="preserve"> de 41 % du seuil minimal (0,5) exige par le cahier des charges MSPR. En comparaison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Regression logistique (baseline) : PR-AUC 0,361 - insuffisant.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Random Forest : PR-AUC 0,636 - valide.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XGBoost : PR-AUC 0,705 - selectionne.</w:t>
      </w:r>
    </w:p>
    <w:p w:rsidR="00BC390E" w:rsidRDefault="00A20F28">
      <w:pPr>
        <w:spacing w:after="120" w:line="300" w:lineRule="auto"/>
        <w:jc w:val="both"/>
      </w:pPr>
      <w:r>
        <w:t xml:space="preserve">Sur le plan operationnel, le </w:t>
      </w:r>
      <w:r>
        <w:t>modele XGBoost detecte 82 % des pannes reelles avec une precision de 60 %. Concretement : sur 100 alertes levees par le modele, 60 correspondent a des pannes reelles, ce qui est acceptable pour un premier deploiement. Ce ratio pourra etre ajuste dans le te</w:t>
      </w:r>
      <w:r>
        <w:t>mps en modifiant le seuil de decision (actuellement a 30 %).</w:t>
      </w:r>
    </w:p>
    <w:p w:rsidR="00BC390E" w:rsidRDefault="00A20F28">
      <w:pPr>
        <w:pStyle w:val="Titre2"/>
      </w:pPr>
      <w:bookmarkStart w:id="9" w:name="_Toc228881921"/>
      <w:r>
        <w:t>2.4. Robustesse aux donnees degradees</w:t>
      </w:r>
      <w:bookmarkEnd w:id="9"/>
    </w:p>
    <w:p w:rsidR="00BC390E" w:rsidRDefault="00A20F28">
      <w:pPr>
        <w:spacing w:after="120" w:line="300" w:lineRule="auto"/>
        <w:jc w:val="both"/>
      </w:pPr>
      <w:r>
        <w:t>Le PoC a ete volontairement construit sur des donnees enrichies de defauts realistes (manquants, doublons, valeurs sentinelles, incoherences d'encodage). La chaine de traitement a absorbe ces defauts sans incident, ce qui demontre la robustesse de l'archit</w:t>
      </w:r>
      <w:r>
        <w:t>ecture face aux conditions reelles d'exploitation.</w:t>
      </w:r>
    </w:p>
    <w:p w:rsidR="00BC390E" w:rsidRDefault="00A20F28">
      <w:pPr>
        <w:pStyle w:val="Titre1"/>
        <w:pageBreakBefore/>
      </w:pPr>
      <w:bookmarkStart w:id="10" w:name="_Toc228881922"/>
      <w:r>
        <w:lastRenderedPageBreak/>
        <w:t>3. Faisabilite metier</w:t>
      </w:r>
      <w:bookmarkEnd w:id="10"/>
    </w:p>
    <w:p w:rsidR="00BC390E" w:rsidRDefault="00A20F28">
      <w:pPr>
        <w:pStyle w:val="Titre2"/>
      </w:pPr>
      <w:bookmarkStart w:id="11" w:name="_Toc228881923"/>
      <w:r>
        <w:t>3.1. Couverture des besoins exprimes</w:t>
      </w:r>
      <w:bookmarkEnd w:id="11"/>
    </w:p>
    <w:p w:rsidR="00BC390E" w:rsidRDefault="00A20F28">
      <w:pPr>
        <w:spacing w:after="120" w:line="300" w:lineRule="auto"/>
        <w:jc w:val="both"/>
      </w:pPr>
      <w:r>
        <w:t>Les six besoins metier formules par la Direction dans le cahier des charges sont tous couverts par le PoC :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9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Couverture PoC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Commentaire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Consolider le pilotage multi-sites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Couvert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Dashboard Vue Groupe operationnel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Detecter les derives qualite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Couvert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Systeme d'alertes a 3 moteurs combines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Anticiper les defaillances machines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Couvert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Modele ML PR-AUC 0,705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Standardiser les KPIs du groupe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Couvert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TRS, rebut, dispo definis et calcules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Reduire le taux de rebut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A confirmer en pilote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Necessite donnees reelles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Optimiser la consommation energetique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Visibilite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Indicateur calcule, optimisation en phase 2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2"/>
      </w:pPr>
      <w:bookmarkStart w:id="12" w:name="_Toc228881924"/>
      <w:r>
        <w:t>3.2. Adequation au profil utilisateur</w:t>
      </w:r>
      <w:bookmarkEnd w:id="12"/>
    </w:p>
    <w:p w:rsidR="00BC390E" w:rsidRDefault="00A20F28">
      <w:pPr>
        <w:jc w:val="center"/>
      </w:pPr>
      <w:r>
        <w:rPr>
          <w:noProof/>
        </w:rPr>
        <w:drawing>
          <wp:inline distT="0" distB="0" distL="0" distR="0">
            <wp:extent cx="5303520" cy="171439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dashboard_ia_test_mode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90E" w:rsidRDefault="00A20F28">
      <w:pPr>
        <w:jc w:val="center"/>
      </w:pPr>
      <w:r>
        <w:rPr>
          <w:i/>
          <w:sz w:val="18"/>
        </w:rPr>
        <w:t>Figure - Interface de test adaptee au profil qualite / maintenance : sliders intuitifs, prediction en direct</w:t>
      </w:r>
    </w:p>
    <w:p w:rsidR="00BC390E" w:rsidRDefault="00A20F28">
      <w:pPr>
        <w:spacing w:after="120" w:line="300" w:lineRule="auto"/>
        <w:jc w:val="both"/>
      </w:pPr>
      <w:r>
        <w:t>Le dashboard propose cinq pages specialisees adaptees aux personas utilisateurs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Direction generale et COMEX : vue synthetique groupe avec benchma</w:t>
      </w:r>
      <w:r>
        <w:t>rks inter-sites.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Responsables d'usine : detail operationnel du site, suivi horaire, alertes en direct.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Qualite et maintenance : tableau priorise des alertes, export vers les workflows existants.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Data scientists : demonstration interactive du modele ML et m</w:t>
      </w:r>
      <w:r>
        <w:t>etriques detaillees.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Data engineers et DSI : rapports de qualite des donnees.</w:t>
      </w:r>
    </w:p>
    <w:p w:rsidR="00BC390E" w:rsidRDefault="00A20F28">
      <w:pPr>
        <w:pStyle w:val="Titre2"/>
      </w:pPr>
      <w:bookmarkStart w:id="13" w:name="_Toc228881925"/>
      <w:r>
        <w:t>3.3. Valeur ajoutee attendue</w:t>
      </w:r>
      <w:bookmarkEnd w:id="13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43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Axe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Gain attendu (sur 18 mois)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Mecanisme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TRS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+1 a +3 points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Detection precoce des derives, reduction des arrets non planifies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Taux de rebut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-0,5 a -1 point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Anticipation des pannes, correction process plus reactive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Arrets non planifies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-15 a -25 %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Maintenance predictive ciblee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Consommation energetique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-5 a -10 % par piece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Optimisation des parametres process, detection des derives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Temps remontee alertes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De J+1 a T+15 min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Pipeline temps quasi-reel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1"/>
        <w:pageBreakBefore/>
      </w:pPr>
      <w:bookmarkStart w:id="14" w:name="_Toc228881926"/>
      <w:r>
        <w:lastRenderedPageBreak/>
        <w:t>4. Faisabilite organisationnelle</w:t>
      </w:r>
      <w:bookmarkEnd w:id="14"/>
    </w:p>
    <w:p w:rsidR="00BC390E" w:rsidRDefault="00A20F28">
      <w:pPr>
        <w:pStyle w:val="Titre2"/>
      </w:pPr>
      <w:bookmarkStart w:id="15" w:name="_Toc228881927"/>
      <w:r>
        <w:t>4.1. Prerequis organisationnels</w:t>
      </w:r>
      <w:bookmarkEnd w:id="15"/>
    </w:p>
    <w:p w:rsidR="00BC390E" w:rsidRDefault="00A20F28">
      <w:pPr>
        <w:spacing w:after="120" w:line="300" w:lineRule="auto"/>
        <w:jc w:val="both"/>
      </w:pPr>
      <w:r>
        <w:t>Le passage a la phase pilote suppose la levee de plusieurs prerequis organisationnels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Recrutement d'un data engineer senior (poste clef de la phase pilote).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Nomination d'un data steward par usine (role a temps partiel).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Arbitrage de la DG sur la priorisation vs autres projets IT en cours.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Engagement des responsables d'usine a dedier du temp</w:t>
      </w:r>
      <w:r>
        <w:t>s utilisateur pour les tests.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Formation du personnel DSI a la stack retenue (1 semaine de formation initiale).</w:t>
      </w:r>
    </w:p>
    <w:p w:rsidR="00BC390E" w:rsidRDefault="00A20F28">
      <w:pPr>
        <w:pStyle w:val="Titre2"/>
      </w:pPr>
      <w:bookmarkStart w:id="16" w:name="_Toc228881928"/>
      <w:r>
        <w:t>4.2. Strategie de conduite du changement</w:t>
      </w:r>
      <w:bookmarkEnd w:id="16"/>
    </w:p>
    <w:p w:rsidR="00BC390E" w:rsidRDefault="00A20F28">
      <w:pPr>
        <w:spacing w:after="120" w:line="300" w:lineRule="auto"/>
        <w:jc w:val="both"/>
      </w:pPr>
      <w:r>
        <w:t>L'adhesion des utilisateurs finaux est le facteur de reussite le plus critique. La strategie proposee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Communication ouverte sur la finalite : outil d'aide, pas de surveillance individuelle.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Co-construction : ateliers avec les operateurs pour calibrer les seuils et alertes.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Formation progressive : session d'introduction collective puis accompagnement par si</w:t>
      </w:r>
      <w:r>
        <w:t>te.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Champions locaux : identifier un ambassadeur par usine pour relayer et soutenir l'adoption.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Feedback continu : enquete de satisfaction trimestrielle, ajustements rapides.</w:t>
      </w:r>
    </w:p>
    <w:p w:rsidR="00BC390E" w:rsidRDefault="00A20F28">
      <w:pPr>
        <w:pStyle w:val="Titre2"/>
      </w:pPr>
      <w:bookmarkStart w:id="17" w:name="_Toc228881929"/>
      <w:r>
        <w:t>4.3. Governance cible</w:t>
      </w:r>
      <w:bookmarkEnd w:id="17"/>
    </w:p>
    <w:p w:rsidR="00BC390E" w:rsidRDefault="00A20F28">
      <w:pPr>
        <w:spacing w:after="120" w:line="300" w:lineRule="auto"/>
        <w:jc w:val="both"/>
      </w:pPr>
      <w:r>
        <w:t>Proposition de gouvernance en phase de production :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53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Instance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Frequence</w:t>
            </w:r>
          </w:p>
        </w:tc>
        <w:tc>
          <w:tcPr>
            <w:tcW w:w="5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Comite strategique data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Trimestriel</w:t>
            </w:r>
          </w:p>
        </w:tc>
        <w:tc>
          <w:tcPr>
            <w:tcW w:w="5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Arbitrages budget, roadmap, risques majeurs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Comite operationnel data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Mensuel</w:t>
            </w:r>
          </w:p>
        </w:tc>
        <w:tc>
          <w:tcPr>
            <w:tcW w:w="5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Pilotage operationnel, arbitrages techniques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Cellule utilisateurs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Bi-mensuel</w:t>
            </w:r>
          </w:p>
        </w:tc>
        <w:tc>
          <w:tcPr>
            <w:tcW w:w="5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Retours utilisateurs, calibration alertes, feedback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1"/>
        <w:pageBreakBefore/>
      </w:pPr>
      <w:bookmarkStart w:id="18" w:name="_Toc228881930"/>
      <w:r>
        <w:lastRenderedPageBreak/>
        <w:t>5. Faisabilite economique et ROI</w:t>
      </w:r>
      <w:bookmarkEnd w:id="18"/>
    </w:p>
    <w:p w:rsidR="00BC390E" w:rsidRDefault="00A20F28">
      <w:pPr>
        <w:pStyle w:val="Titre2"/>
      </w:pPr>
      <w:bookmarkStart w:id="19" w:name="_Toc228881931"/>
      <w:r>
        <w:t>5.1. Investissement cumule estime</w:t>
      </w:r>
      <w:bookmarkEnd w:id="19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2000"/>
        <w:gridCol w:w="41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Duree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Investissement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PoC (livre)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3 mois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Realise dans le cadre academique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Pilote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6 mois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100 a 165 k EUR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Generalisation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9 mois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150 a 250 k EUR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Exploitation (par an)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Recurrent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50 a 80 k EUR / an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TOTAL investissement initial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18 mois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250 a 400 k EUR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2"/>
      </w:pPr>
      <w:bookmarkStart w:id="20" w:name="_Toc228881932"/>
      <w:r>
        <w:t>5.2. Gains annuels estimes</w:t>
      </w:r>
      <w:bookmarkEnd w:id="20"/>
    </w:p>
    <w:p w:rsidR="00BC390E" w:rsidRDefault="00A20F28">
      <w:pPr>
        <w:spacing w:after="120" w:line="300" w:lineRule="auto"/>
        <w:jc w:val="both"/>
      </w:pPr>
      <w:r>
        <w:t>Sur la base d'hypotheses conservatrices et de retours d'experience industriels comparables :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000"/>
        <w:gridCol w:w="34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Source de gain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Estimation conservatrice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Estimation optimiste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Reduction des arrets non planifies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300 k EUR / an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500 k EUR / an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Reduction du taux de rebut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200 k EUR / an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400 k EUR / an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Reduction des couts energie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100 k EUR / an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200 k EUR / an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Gain productivite (maintenance proactive)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150 k EUR / an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200 k EUR / an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TOTAL gains annuels recurrents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750 k EUR / an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1 300 k EUR / an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2"/>
      </w:pPr>
      <w:bookmarkStart w:id="21" w:name="_Toc228881933"/>
      <w:r>
        <w:t>5.3. Retour sur investissement</w:t>
      </w:r>
      <w:bookmarkEnd w:id="21"/>
    </w:p>
    <w:p w:rsidR="00BC390E" w:rsidRDefault="00A20F28">
      <w:pPr>
        <w:spacing w:after="120" w:line="300" w:lineRule="auto"/>
        <w:jc w:val="both"/>
      </w:pPr>
      <w:r>
        <w:t>Sur la base des chiffres ci-dessus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Scenario conservateur : 750 k EUR/an de gains pour 400 k EUR d'investissement, ROI en 6 a 8 mois.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Scenario median : 1 000 k EUR/an de gains pour 325 k EUR d'investissement, ROI en 4 mois.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Scenario optimiste : 1 300 k EUR/an de gains pour 250 k EUR d'invest</w:t>
      </w:r>
      <w:r>
        <w:t>issement, ROI en 2-3 mois.</w:t>
      </w:r>
    </w:p>
    <w:p w:rsidR="00BC390E" w:rsidRDefault="00A20F28">
      <w:pPr>
        <w:spacing w:after="120" w:line="300" w:lineRule="auto"/>
        <w:jc w:val="both"/>
      </w:pPr>
      <w:r>
        <w:t>Dans les trois scenarios, le projet se rembourse en moins d'un an d'exploitation, ce qui le positionne dans la categorie des investissements strategiques a haute valeur ajoutee.</w:t>
      </w:r>
    </w:p>
    <w:p w:rsidR="00BC390E" w:rsidRDefault="00A20F28">
      <w:pPr>
        <w:pStyle w:val="Titre2"/>
      </w:pPr>
      <w:bookmarkStart w:id="22" w:name="_Toc228881934"/>
      <w:r>
        <w:t>5.4. Benefices non monetaires</w:t>
      </w:r>
      <w:bookmarkEnd w:id="22"/>
    </w:p>
    <w:p w:rsidR="00BC390E" w:rsidRDefault="00A20F28">
      <w:pPr>
        <w:spacing w:after="120" w:line="300" w:lineRule="auto"/>
        <w:jc w:val="both"/>
      </w:pPr>
      <w:r>
        <w:t>Au-dela des gains qua</w:t>
      </w:r>
      <w:r>
        <w:t>ntifiables, le projet apporte des benefices strategiques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Montee en competences des equipes internes sur les pratiques modernes de data et d'IA.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lastRenderedPageBreak/>
        <w:t>Actif technologique reutilisable pour d'autres cas d'usage (optimisation ordonnancement, prevision de demande,</w:t>
      </w:r>
      <w:r>
        <w:t xml:space="preserve"> controle qualite automatise).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Avantage concurrentiel : positionnement de MECHA comme acteur industriel a la pointe technologique.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Amelioration de l'attractivite pour les clients aeronautiques et automobiles exigeants.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Facilitation des audits qualite (EN 9100, ISO 9001) par la tracabilite renforcee.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Amelioration de la satisfaction et de la retention des collaborateurs (outils modernes).</w:t>
      </w:r>
    </w:p>
    <w:p w:rsidR="00BC390E" w:rsidRDefault="00A20F28">
      <w:pPr>
        <w:pStyle w:val="Titre1"/>
        <w:pageBreakBefore/>
      </w:pPr>
      <w:bookmarkStart w:id="23" w:name="_Toc228881935"/>
      <w:r>
        <w:lastRenderedPageBreak/>
        <w:t>6. Feuille de route proposee</w:t>
      </w:r>
      <w:bookmarkEnd w:id="23"/>
    </w:p>
    <w:p w:rsidR="00BC390E" w:rsidRDefault="00A20F28">
      <w:pPr>
        <w:pStyle w:val="Titre2"/>
      </w:pPr>
      <w:bookmarkStart w:id="24" w:name="_Toc228881936"/>
      <w:r>
        <w:t>6.1. Phases d'industrialisation</w:t>
      </w:r>
      <w:bookmarkEnd w:id="24"/>
    </w:p>
    <w:p w:rsidR="00BC390E" w:rsidRDefault="00A20F28">
      <w:pPr>
        <w:jc w:val="center"/>
      </w:pPr>
      <w:r>
        <w:rPr>
          <w:noProof/>
        </w:rPr>
        <w:drawing>
          <wp:inline distT="0" distB="0" distL="0" distR="0">
            <wp:extent cx="5303520" cy="17287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ashboard_alertes_tablea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2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90E" w:rsidRDefault="00A20F28">
      <w:pPr>
        <w:jc w:val="center"/>
      </w:pPr>
      <w:r>
        <w:rPr>
          <w:i/>
          <w:sz w:val="18"/>
        </w:rPr>
        <w:t xml:space="preserve">Figure - Capacite </w:t>
      </w:r>
      <w:r>
        <w:rPr>
          <w:i/>
          <w:sz w:val="18"/>
        </w:rPr>
        <w:t>operationnelle demontree : systeme d'alertes avec priorisation et export CSV, pret pour la phase pilote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3000"/>
        <w:gridCol w:w="32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Duree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Objectifs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Livrables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Phase 1 - PoC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Terminee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Demontrer la faisabilite sur 2 usines simulees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Notebooks, dashboard, livrables MSPR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Phase 2 - Pilote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6 mois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Deploiement en conditions reelles sur FR-01 et ES-01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Plateforme en production, modeles reentraine sur donnees reelles, formation equipes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Phase 3 - Generalisation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9 mois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Extension aux 3 sites restants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Plateforme multi-sites, gouvernance data groupe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Phase 4 - Optimisation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Continue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Nouveaux cas d'usage, optimisation fine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Modeles specialises, integrations avancees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2"/>
      </w:pPr>
      <w:bookmarkStart w:id="25" w:name="_Toc228881937"/>
      <w:r>
        <w:t>6.2. Jalons cles de la phase pilote</w:t>
      </w:r>
      <w:bookmarkEnd w:id="25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460"/>
      </w:tblGrid>
      <w:tr w:rsidR="00BC390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Mois</w:t>
            </w:r>
          </w:p>
        </w:tc>
        <w:tc>
          <w:tcPr>
            <w:tcW w:w="8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b/>
                <w:bCs/>
                <w:color w:val="FFFFFF"/>
                <w:sz w:val="20"/>
                <w:szCs w:val="20"/>
              </w:rPr>
              <w:t>Jalon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M1</w:t>
            </w:r>
          </w:p>
        </w:tc>
        <w:tc>
          <w:tcPr>
            <w:tcW w:w="8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Recrutement du data engineer, kickoff pilote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M2</w:t>
            </w:r>
          </w:p>
        </w:tc>
        <w:tc>
          <w:tcPr>
            <w:tcW w:w="8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Mise en place des connecteurs SCADA/MES sur FR-01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M3</w:t>
            </w:r>
          </w:p>
        </w:tc>
        <w:tc>
          <w:tcPr>
            <w:tcW w:w="8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Ingestion temps reel operationnelle sur FR-01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M4</w:t>
            </w:r>
          </w:p>
        </w:tc>
        <w:tc>
          <w:tcPr>
            <w:tcW w:w="8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Dashboard deploye et accessible aux utilisateurs FR-01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M5</w:t>
            </w:r>
          </w:p>
        </w:tc>
        <w:tc>
          <w:tcPr>
            <w:tcW w:w="8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Reentrainement du modele ML sur donnees reelles FR-01</w:t>
            </w:r>
          </w:p>
        </w:tc>
      </w:tr>
      <w:tr w:rsidR="00BC39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M6</w:t>
            </w:r>
          </w:p>
        </w:tc>
        <w:tc>
          <w:tcPr>
            <w:tcW w:w="8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BC390E" w:rsidRDefault="00A20F28">
            <w:r>
              <w:rPr>
                <w:sz w:val="20"/>
                <w:szCs w:val="20"/>
              </w:rPr>
              <w:t>Deploiement complet FR-01 + ES-01, bilan phase pilote, decision Go/NoGo phase 3</w:t>
            </w:r>
          </w:p>
        </w:tc>
      </w:tr>
    </w:tbl>
    <w:p w:rsidR="00BC390E" w:rsidRDefault="00BC390E">
      <w:pPr>
        <w:spacing w:after="200"/>
      </w:pPr>
    </w:p>
    <w:p w:rsidR="00BC390E" w:rsidRDefault="00A20F28">
      <w:pPr>
        <w:pStyle w:val="Titre2"/>
      </w:pPr>
      <w:bookmarkStart w:id="26" w:name="_Toc228881938"/>
      <w:r>
        <w:t>6.3. Points de controle et arbitrages</w:t>
      </w:r>
      <w:bookmarkEnd w:id="26"/>
    </w:p>
    <w:p w:rsidR="00BC390E" w:rsidRDefault="00A20F28">
      <w:pPr>
        <w:spacing w:after="120" w:line="300" w:lineRule="auto"/>
        <w:jc w:val="both"/>
      </w:pPr>
      <w:r>
        <w:t>Des points de decision formels sont prevus a chaque fin de phase pour permettre a la Direction de reorienter le projet si necessaire :</w:t>
      </w:r>
    </w:p>
    <w:p w:rsidR="00BC390E" w:rsidRPr="00766DB4" w:rsidRDefault="00A20F28">
      <w:pPr>
        <w:pStyle w:val="Paragraphedeliste"/>
        <w:numPr>
          <w:ilvl w:val="0"/>
          <w:numId w:val="2"/>
        </w:numPr>
        <w:spacing w:after="80" w:line="280" w:lineRule="auto"/>
        <w:rPr>
          <w:lang w:val="en-US"/>
        </w:rPr>
      </w:pPr>
      <w:r w:rsidRPr="00766DB4">
        <w:rPr>
          <w:lang w:val="en-US"/>
        </w:rPr>
        <w:t>Fin de phase pilote (M6) : go/no-go generalisation, budget phase 3.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lastRenderedPageBreak/>
        <w:t>Fin de phase generalisation (M15) : bilan economique,</w:t>
      </w:r>
      <w:r>
        <w:t xml:space="preserve"> ajustement strategique.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Revues trimestrielles : suivi ROI, risques, satisfaction utilisateurs.</w:t>
      </w:r>
    </w:p>
    <w:p w:rsidR="00BC390E" w:rsidRDefault="00A20F28">
      <w:pPr>
        <w:pStyle w:val="Titre1"/>
        <w:pageBreakBefore/>
      </w:pPr>
      <w:bookmarkStart w:id="27" w:name="_Toc228881939"/>
      <w:r>
        <w:lastRenderedPageBreak/>
        <w:t>7. Conclusion et demande de validation</w:t>
      </w:r>
      <w:bookmarkEnd w:id="27"/>
    </w:p>
    <w:p w:rsidR="00BC390E" w:rsidRDefault="00A20F28">
      <w:pPr>
        <w:pStyle w:val="Titre2"/>
      </w:pPr>
      <w:bookmarkStart w:id="28" w:name="_Toc228881940"/>
      <w:r>
        <w:t>7.1. Synthese</w:t>
      </w:r>
      <w:bookmarkEnd w:id="28"/>
    </w:p>
    <w:p w:rsidR="00BC390E" w:rsidRDefault="00A20F28">
      <w:pPr>
        <w:spacing w:after="120" w:line="300" w:lineRule="auto"/>
        <w:jc w:val="both"/>
      </w:pPr>
      <w:r>
        <w:t>Le Proof of Concept MECHA, realise sur le perimetre des usines FR-01 et ES-01, a demontre de maniere conclu</w:t>
      </w:r>
      <w:r>
        <w:t>ante la faisabilite technique, metier, organisationnelle et economique d'une plateforme de pilotage industriel integrant des capacites d'intelligence artificielle.</w:t>
      </w:r>
    </w:p>
    <w:p w:rsidR="00BC390E" w:rsidRDefault="00A20F28">
      <w:pPr>
        <w:spacing w:after="120" w:line="300" w:lineRule="auto"/>
        <w:jc w:val="both"/>
      </w:pPr>
      <w:r>
        <w:t>Les performances atteintes (PR-AUC de 0,705, 100 % de completude des donnees, couverture com</w:t>
      </w:r>
      <w:r>
        <w:t>plete des 9 competences MSPR) depassent les seuils requis et valident la solidite des choix technologiques et methodologiques. L'architecture proposee est mature, scalable et reproductible.</w:t>
      </w:r>
    </w:p>
    <w:p w:rsidR="00BC390E" w:rsidRDefault="00A20F28">
      <w:pPr>
        <w:spacing w:after="120" w:line="300" w:lineRule="auto"/>
        <w:jc w:val="both"/>
      </w:pPr>
      <w:r>
        <w:t>Le retour sur investissement projete (4 a 8 mois selon les scenarios) et les benefices strategiques (positionnement concurrentiel, montee en competences, tracabilite renforcee) positionnent ce projet parmi les investissements a plus forte valeur ajoutee du</w:t>
      </w:r>
      <w:r>
        <w:t xml:space="preserve"> plan de transformation.</w:t>
      </w:r>
    </w:p>
    <w:p w:rsidR="00BC390E" w:rsidRDefault="00A20F28">
      <w:pPr>
        <w:pStyle w:val="Titre2"/>
      </w:pPr>
      <w:bookmarkStart w:id="29" w:name="_Toc228881941"/>
      <w:r>
        <w:t>7.2. Demande de validation</w:t>
      </w:r>
      <w:bookmarkEnd w:id="29"/>
    </w:p>
    <w:p w:rsidR="00BC390E" w:rsidRDefault="00A20F28">
      <w:pPr>
        <w:spacing w:after="120" w:line="300" w:lineRule="auto"/>
        <w:jc w:val="both"/>
      </w:pPr>
      <w:r>
        <w:t>L'equipe projet sollicite donc l'accord formel de la Direction generale pour :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Lancer la phase pilote sur les usines FR-01 et ES-01 pour une duree de 6 mois.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Valider un budget phase pilote entre 100 et 16</w:t>
      </w:r>
      <w:r>
        <w:t>5 k EUR incluant recrutement d'un data engineer senior.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Mettre en place une gouvernance projet avec un COPIL mensuel sous sponsoring DG.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Prevoir un arbitrage formel a M6 pour decider du passage en phase de generalisation.</w:t>
      </w:r>
    </w:p>
    <w:p w:rsidR="00BC390E" w:rsidRDefault="00A20F28">
      <w:pPr>
        <w:pStyle w:val="Titre2"/>
      </w:pPr>
      <w:bookmarkStart w:id="30" w:name="_Toc228881942"/>
      <w:r>
        <w:t>7.3. Prochaines etapes</w:t>
      </w:r>
      <w:bookmarkEnd w:id="30"/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Validation </w:t>
      </w:r>
      <w:r>
        <w:t>de la note de faisabilite en COMEX.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Lancement du recrutement du data engineer senior.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Formalisation du cahier des charges de la phase pilote.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>Consultation des fournisseurs potentiels (hors equipe projet academique).</w:t>
      </w:r>
    </w:p>
    <w:p w:rsidR="00BC390E" w:rsidRDefault="00A20F28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Kickoff de la phase pilote au plus tard </w:t>
      </w:r>
      <w:r>
        <w:t>a M+2 apres validation.</w:t>
      </w:r>
    </w:p>
    <w:p w:rsidR="00BC390E" w:rsidRDefault="00BC390E">
      <w:pPr>
        <w:spacing w:after="120" w:line="300" w:lineRule="auto"/>
        <w:jc w:val="both"/>
      </w:pPr>
    </w:p>
    <w:p w:rsidR="00BC390E" w:rsidRDefault="00A20F28">
      <w:pPr>
        <w:spacing w:after="120" w:line="300" w:lineRule="auto"/>
        <w:jc w:val="both"/>
      </w:pPr>
      <w:r>
        <w:rPr>
          <w:i/>
          <w:iCs/>
          <w:color w:val="5A6B7C"/>
        </w:rPr>
        <w:t>Nous restons a la disposition de la Direction pour toute precision et pour presenter les elements techniques en detail si necessaire.</w:t>
      </w:r>
    </w:p>
    <w:p w:rsidR="00BC390E" w:rsidRDefault="00BC390E">
      <w:pPr>
        <w:spacing w:after="120" w:line="300" w:lineRule="auto"/>
        <w:jc w:val="center"/>
      </w:pPr>
    </w:p>
    <w:p w:rsidR="00BC390E" w:rsidRDefault="00A20F28">
      <w:pPr>
        <w:spacing w:after="120" w:line="300" w:lineRule="auto"/>
        <w:jc w:val="center"/>
      </w:pPr>
      <w:r>
        <w:rPr>
          <w:i/>
          <w:iCs/>
          <w:color w:val="5A6B7C"/>
        </w:rPr>
        <w:t>Romaric TCHOFFO &amp; Emmanuel AMEGA</w:t>
      </w:r>
    </w:p>
    <w:p w:rsidR="00BC390E" w:rsidRDefault="00A20F28">
      <w:pPr>
        <w:spacing w:after="120" w:line="300" w:lineRule="auto"/>
        <w:jc w:val="center"/>
      </w:pPr>
      <w:r>
        <w:rPr>
          <w:i/>
          <w:iCs/>
          <w:color w:val="5A6B7C"/>
        </w:rPr>
        <w:t>EPSI - Mastere Expert en Intelligence Artificielle - 2025/2026</w:t>
      </w:r>
    </w:p>
    <w:sectPr w:rsidR="00BC390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0F28" w:rsidRDefault="00A20F28">
      <w:r>
        <w:separator/>
      </w:r>
    </w:p>
  </w:endnote>
  <w:endnote w:type="continuationSeparator" w:id="0">
    <w:p w:rsidR="00A20F28" w:rsidRDefault="00A20F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390E" w:rsidRDefault="00A20F28">
    <w:pPr>
      <w:jc w:val="center"/>
    </w:pPr>
    <w:r>
      <w:rPr>
        <w:color w:val="5A6B7C"/>
        <w:sz w:val="18"/>
        <w:szCs w:val="18"/>
      </w:rPr>
      <w:t xml:space="preserve">Page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PAGE</w:instrText>
    </w:r>
    <w:r w:rsidR="00766DB4">
      <w:rPr>
        <w:color w:val="5A6B7C"/>
        <w:sz w:val="18"/>
        <w:szCs w:val="18"/>
      </w:rPr>
      <w:fldChar w:fldCharType="separate"/>
    </w:r>
    <w:r w:rsidR="00766DB4">
      <w:rPr>
        <w:noProof/>
        <w:color w:val="5A6B7C"/>
        <w:sz w:val="18"/>
        <w:szCs w:val="18"/>
      </w:rPr>
      <w:t>2</w:t>
    </w:r>
    <w:r>
      <w:rPr>
        <w:color w:val="5A6B7C"/>
        <w:sz w:val="18"/>
        <w:szCs w:val="18"/>
      </w:rPr>
      <w:fldChar w:fldCharType="end"/>
    </w:r>
    <w:r>
      <w:rPr>
        <w:color w:val="5A6B7C"/>
        <w:sz w:val="18"/>
        <w:szCs w:val="18"/>
      </w:rPr>
      <w:t xml:space="preserve"> sur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NUMPAGES</w:instrText>
    </w:r>
    <w:r w:rsidR="00766DB4">
      <w:rPr>
        <w:color w:val="5A6B7C"/>
        <w:sz w:val="18"/>
        <w:szCs w:val="18"/>
      </w:rPr>
      <w:fldChar w:fldCharType="separate"/>
    </w:r>
    <w:r w:rsidR="00766DB4">
      <w:rPr>
        <w:noProof/>
        <w:color w:val="5A6B7C"/>
        <w:sz w:val="18"/>
        <w:szCs w:val="18"/>
      </w:rPr>
      <w:t>15</w:t>
    </w:r>
    <w:r>
      <w:rPr>
        <w:color w:val="5A6B7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0F28" w:rsidRDefault="00A20F28">
      <w:r>
        <w:separator/>
      </w:r>
    </w:p>
  </w:footnote>
  <w:footnote w:type="continuationSeparator" w:id="0">
    <w:p w:rsidR="00A20F28" w:rsidRDefault="00A20F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390E" w:rsidRDefault="00A20F28">
    <w:pPr>
      <w:pBdr>
        <w:bottom w:val="single" w:sz="4" w:space="4" w:color="2E75B6"/>
      </w:pBdr>
      <w:jc w:val="right"/>
    </w:pPr>
    <w:r>
      <w:rPr>
        <w:i/>
        <w:iCs/>
        <w:color w:val="5A6B7C"/>
        <w:sz w:val="18"/>
        <w:szCs w:val="18"/>
      </w:rPr>
      <w:t>MSPR TPRE831 - Note de faisabilite</w:t>
    </w:r>
    <w:r w:rsidR="00766DB4">
      <w:rPr>
        <w:i/>
        <w:iCs/>
        <w:color w:val="5A6B7C"/>
        <w:sz w:val="18"/>
        <w:szCs w:val="18"/>
      </w:rPr>
      <w:t xml:space="preserve"> - Romaric TCHOFFO &amp; Emmanuel AN</w:t>
    </w:r>
    <w:r>
      <w:rPr>
        <w:i/>
        <w:iCs/>
        <w:color w:val="5A6B7C"/>
        <w:sz w:val="18"/>
        <w:szCs w:val="18"/>
      </w:rPr>
      <w:t>EGA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C0279"/>
    <w:multiLevelType w:val="hybridMultilevel"/>
    <w:tmpl w:val="3AC62742"/>
    <w:lvl w:ilvl="0" w:tplc="662E575C">
      <w:start w:val="1"/>
      <w:numFmt w:val="bullet"/>
      <w:lvlText w:val="●"/>
      <w:lvlJc w:val="left"/>
      <w:pPr>
        <w:ind w:left="720" w:hanging="360"/>
      </w:pPr>
    </w:lvl>
    <w:lvl w:ilvl="1" w:tplc="D5DC0F5C">
      <w:start w:val="1"/>
      <w:numFmt w:val="bullet"/>
      <w:lvlText w:val="○"/>
      <w:lvlJc w:val="left"/>
      <w:pPr>
        <w:ind w:left="1440" w:hanging="360"/>
      </w:pPr>
    </w:lvl>
    <w:lvl w:ilvl="2" w:tplc="AF3C0F98">
      <w:start w:val="1"/>
      <w:numFmt w:val="bullet"/>
      <w:lvlText w:val="■"/>
      <w:lvlJc w:val="left"/>
      <w:pPr>
        <w:ind w:left="2160" w:hanging="360"/>
      </w:pPr>
    </w:lvl>
    <w:lvl w:ilvl="3" w:tplc="AB3A54E6">
      <w:start w:val="1"/>
      <w:numFmt w:val="bullet"/>
      <w:lvlText w:val="●"/>
      <w:lvlJc w:val="left"/>
      <w:pPr>
        <w:ind w:left="2880" w:hanging="360"/>
      </w:pPr>
    </w:lvl>
    <w:lvl w:ilvl="4" w:tplc="850EDA40">
      <w:start w:val="1"/>
      <w:numFmt w:val="bullet"/>
      <w:lvlText w:val="○"/>
      <w:lvlJc w:val="left"/>
      <w:pPr>
        <w:ind w:left="3600" w:hanging="360"/>
      </w:pPr>
    </w:lvl>
    <w:lvl w:ilvl="5" w:tplc="639611E8">
      <w:start w:val="1"/>
      <w:numFmt w:val="bullet"/>
      <w:lvlText w:val="■"/>
      <w:lvlJc w:val="left"/>
      <w:pPr>
        <w:ind w:left="4320" w:hanging="360"/>
      </w:pPr>
    </w:lvl>
    <w:lvl w:ilvl="6" w:tplc="4A0883B4">
      <w:start w:val="1"/>
      <w:numFmt w:val="bullet"/>
      <w:lvlText w:val="●"/>
      <w:lvlJc w:val="left"/>
      <w:pPr>
        <w:ind w:left="5040" w:hanging="360"/>
      </w:pPr>
    </w:lvl>
    <w:lvl w:ilvl="7" w:tplc="33ACB248">
      <w:start w:val="1"/>
      <w:numFmt w:val="bullet"/>
      <w:lvlText w:val="●"/>
      <w:lvlJc w:val="left"/>
      <w:pPr>
        <w:ind w:left="5760" w:hanging="360"/>
      </w:pPr>
    </w:lvl>
    <w:lvl w:ilvl="8" w:tplc="15E09B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8C589E"/>
    <w:multiLevelType w:val="hybridMultilevel"/>
    <w:tmpl w:val="BECAC338"/>
    <w:lvl w:ilvl="0" w:tplc="F1E0B076">
      <w:start w:val="1"/>
      <w:numFmt w:val="bullet"/>
      <w:lvlText w:val="•"/>
      <w:lvlJc w:val="left"/>
      <w:pPr>
        <w:ind w:left="720" w:hanging="360"/>
      </w:pPr>
    </w:lvl>
    <w:lvl w:ilvl="1" w:tplc="4A760846">
      <w:start w:val="1"/>
      <w:numFmt w:val="bullet"/>
      <w:lvlText w:val="◦"/>
      <w:lvlJc w:val="left"/>
      <w:pPr>
        <w:ind w:left="1440" w:hanging="360"/>
      </w:pPr>
    </w:lvl>
    <w:lvl w:ilvl="2" w:tplc="A70C2ACE">
      <w:numFmt w:val="decimal"/>
      <w:lvlText w:val=""/>
      <w:lvlJc w:val="left"/>
    </w:lvl>
    <w:lvl w:ilvl="3" w:tplc="8ACC4672">
      <w:numFmt w:val="decimal"/>
      <w:lvlText w:val=""/>
      <w:lvlJc w:val="left"/>
    </w:lvl>
    <w:lvl w:ilvl="4" w:tplc="10481802">
      <w:numFmt w:val="decimal"/>
      <w:lvlText w:val=""/>
      <w:lvlJc w:val="left"/>
    </w:lvl>
    <w:lvl w:ilvl="5" w:tplc="6874BA08">
      <w:numFmt w:val="decimal"/>
      <w:lvlText w:val=""/>
      <w:lvlJc w:val="left"/>
    </w:lvl>
    <w:lvl w:ilvl="6" w:tplc="4A0C2556">
      <w:numFmt w:val="decimal"/>
      <w:lvlText w:val=""/>
      <w:lvlJc w:val="left"/>
    </w:lvl>
    <w:lvl w:ilvl="7" w:tplc="9E3270A8">
      <w:numFmt w:val="decimal"/>
      <w:lvlText w:val=""/>
      <w:lvlJc w:val="left"/>
    </w:lvl>
    <w:lvl w:ilvl="8" w:tplc="462C783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90E"/>
    <w:rsid w:val="00766DB4"/>
    <w:rsid w:val="00A20F28"/>
    <w:rsid w:val="00BC3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2BB96"/>
  <w15:docId w15:val="{115DD36D-9815-48B7-A257-4318174EF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360" w:after="240"/>
      <w:outlineLvl w:val="0"/>
    </w:pPr>
    <w:rPr>
      <w:b/>
      <w:bCs/>
      <w:color w:val="1F3A5F"/>
      <w:sz w:val="32"/>
      <w:szCs w:val="32"/>
    </w:rPr>
  </w:style>
  <w:style w:type="paragraph" w:styleId="Titre2">
    <w:name w:val="heading 2"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qFormat/>
    <w:pPr>
      <w:spacing w:before="240" w:after="120"/>
      <w:outlineLvl w:val="2"/>
    </w:pPr>
    <w:rPr>
      <w:b/>
      <w:bCs/>
      <w:color w:val="1F3A5F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766DB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66DB4"/>
    <w:pPr>
      <w:spacing w:after="100"/>
      <w:ind w:left="220"/>
    </w:pPr>
  </w:style>
  <w:style w:type="paragraph" w:styleId="En-tte">
    <w:name w:val="header"/>
    <w:basedOn w:val="Normal"/>
    <w:link w:val="En-tteCar"/>
    <w:uiPriority w:val="99"/>
    <w:unhideWhenUsed/>
    <w:rsid w:val="00766DB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66DB4"/>
  </w:style>
  <w:style w:type="paragraph" w:styleId="Pieddepage">
    <w:name w:val="footer"/>
    <w:basedOn w:val="Normal"/>
    <w:link w:val="PieddepageCar"/>
    <w:uiPriority w:val="99"/>
    <w:unhideWhenUsed/>
    <w:rsid w:val="00766DB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66D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2549</Words>
  <Characters>14021</Characters>
  <Application>Microsoft Office Word</Application>
  <DocSecurity>0</DocSecurity>
  <Lines>116</Lines>
  <Paragraphs>33</Paragraphs>
  <ScaleCrop>false</ScaleCrop>
  <Company/>
  <LinksUpToDate>false</LinksUpToDate>
  <CharactersWithSpaces>16537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de faisabilite</dc:title>
  <dc:creator>Romaric TCHOFFO &amp; Emmanuel AMEGA</dc:creator>
  <dc:description>Livrable MSPR TPRE831 - Projet MECHA</dc:description>
  <cp:lastModifiedBy>ROMARIC</cp:lastModifiedBy>
  <cp:revision>2</cp:revision>
  <dcterms:created xsi:type="dcterms:W3CDTF">2026-04-21T05:11:00Z</dcterms:created>
  <dcterms:modified xsi:type="dcterms:W3CDTF">2026-05-05T11:58:00Z</dcterms:modified>
</cp:coreProperties>
</file>