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7BACA3" w14:textId="07AE0DE6" w:rsidR="00B01247" w:rsidRPr="00B01247" w:rsidRDefault="00B01247" w:rsidP="00B50475">
      <w:pPr>
        <w:spacing w:line="276" w:lineRule="auto"/>
        <w:jc w:val="center"/>
        <w:rPr>
          <w:rFonts w:ascii="Didot" w:hAnsi="Didot" w:cs="Didot" w:hint="cs"/>
          <w:b/>
          <w:bCs/>
          <w:color w:val="385623" w:themeColor="accent6" w:themeShade="80"/>
          <w:sz w:val="32"/>
          <w:szCs w:val="32"/>
        </w:rPr>
      </w:pPr>
      <w:r w:rsidRPr="00B01247">
        <w:rPr>
          <w:rFonts w:ascii="Didot" w:hAnsi="Didot" w:cs="Didot" w:hint="cs"/>
          <w:b/>
          <w:bCs/>
          <w:color w:val="385623" w:themeColor="accent6" w:themeShade="80"/>
          <w:sz w:val="32"/>
          <w:szCs w:val="32"/>
        </w:rPr>
        <w:t>L</w:t>
      </w:r>
      <w:r w:rsidRPr="00B01247">
        <w:rPr>
          <w:rFonts w:ascii="Didot" w:hAnsi="Didot" w:cs="Didot" w:hint="cs"/>
          <w:b/>
          <w:bCs/>
          <w:color w:val="385623" w:themeColor="accent6" w:themeShade="80"/>
          <w:sz w:val="32"/>
          <w:szCs w:val="32"/>
        </w:rPr>
        <w:t xml:space="preserve">’acte Unique européen </w:t>
      </w:r>
      <w:r w:rsidRPr="00B01247">
        <w:rPr>
          <w:rFonts w:ascii="Didot" w:hAnsi="Didot" w:cs="Didot" w:hint="cs"/>
          <w:b/>
          <w:bCs/>
          <w:color w:val="385623" w:themeColor="accent6" w:themeShade="80"/>
          <w:sz w:val="32"/>
          <w:szCs w:val="32"/>
        </w:rPr>
        <w:t>(</w:t>
      </w:r>
      <w:r w:rsidRPr="00B01247">
        <w:rPr>
          <w:rFonts w:ascii="Didot" w:hAnsi="Didot" w:cs="Didot" w:hint="cs"/>
          <w:b/>
          <w:bCs/>
          <w:color w:val="385623" w:themeColor="accent6" w:themeShade="80"/>
          <w:sz w:val="32"/>
          <w:szCs w:val="32"/>
        </w:rPr>
        <w:t>1986</w:t>
      </w:r>
      <w:r w:rsidRPr="00B01247">
        <w:rPr>
          <w:rFonts w:ascii="Didot" w:hAnsi="Didot" w:cs="Didot" w:hint="cs"/>
          <w:b/>
          <w:bCs/>
          <w:color w:val="385623" w:themeColor="accent6" w:themeShade="80"/>
          <w:sz w:val="32"/>
          <w:szCs w:val="32"/>
        </w:rPr>
        <w:t>)</w:t>
      </w:r>
    </w:p>
    <w:p w14:paraId="759AEB4A" w14:textId="77777777" w:rsidR="00B01247" w:rsidRPr="00B01247" w:rsidRDefault="00B01247" w:rsidP="00B50475">
      <w:pPr>
        <w:spacing w:line="276" w:lineRule="auto"/>
        <w:jc w:val="center"/>
        <w:rPr>
          <w:rFonts w:ascii="Didot" w:hAnsi="Didot" w:cs="Didot" w:hint="cs"/>
          <w:b/>
          <w:bCs/>
          <w:color w:val="385623" w:themeColor="accent6" w:themeShade="80"/>
          <w:sz w:val="32"/>
          <w:szCs w:val="32"/>
        </w:rPr>
      </w:pPr>
    </w:p>
    <w:p w14:paraId="53415C4F" w14:textId="77777777" w:rsidR="00B01247" w:rsidRPr="00B01247" w:rsidRDefault="00B01247" w:rsidP="00B50475">
      <w:pPr>
        <w:spacing w:line="276" w:lineRule="auto"/>
        <w:rPr>
          <w:rFonts w:ascii="Didot" w:hAnsi="Didot" w:cs="Didot" w:hint="cs"/>
        </w:rPr>
      </w:pPr>
    </w:p>
    <w:tbl>
      <w:tblPr>
        <w:tblStyle w:val="Grilledutableau"/>
        <w:tblW w:w="0" w:type="auto"/>
        <w:tblLook w:val="04A0" w:firstRow="1" w:lastRow="0" w:firstColumn="1" w:lastColumn="0" w:noHBand="0" w:noVBand="1"/>
      </w:tblPr>
      <w:tblGrid>
        <w:gridCol w:w="9062"/>
      </w:tblGrid>
      <w:tr w:rsidR="00B01247" w:rsidRPr="00B01247" w14:paraId="19D95EEE" w14:textId="77777777" w:rsidTr="004D1771">
        <w:trPr>
          <w:trHeight w:val="1818"/>
        </w:trPr>
        <w:tc>
          <w:tcPr>
            <w:tcW w:w="9062" w:type="dxa"/>
            <w:shd w:val="clear" w:color="auto" w:fill="E2EFD9" w:themeFill="accent6" w:themeFillTint="33"/>
          </w:tcPr>
          <w:p w14:paraId="0D7F283B" w14:textId="77777777" w:rsidR="00B01247" w:rsidRPr="00B01247" w:rsidRDefault="00B01247" w:rsidP="00B50475">
            <w:pPr>
              <w:spacing w:line="276" w:lineRule="auto"/>
              <w:rPr>
                <w:rFonts w:ascii="Didot" w:eastAsia="Times New Roman" w:hAnsi="Didot" w:cs="Didot" w:hint="cs"/>
                <w:lang w:eastAsia="fr-FR"/>
              </w:rPr>
            </w:pPr>
          </w:p>
          <w:p w14:paraId="14961360" w14:textId="5CCA969A" w:rsidR="00B01247" w:rsidRDefault="00B01247" w:rsidP="00B50475">
            <w:pPr>
              <w:pStyle w:val="Paragraphedeliste"/>
              <w:numPr>
                <w:ilvl w:val="0"/>
                <w:numId w:val="3"/>
              </w:numPr>
              <w:spacing w:line="276" w:lineRule="auto"/>
              <w:jc w:val="both"/>
              <w:rPr>
                <w:rFonts w:ascii="Didot" w:hAnsi="Didot" w:cs="Didot"/>
                <w:b/>
                <w:bCs/>
              </w:rPr>
            </w:pPr>
            <w:r>
              <w:rPr>
                <w:rFonts w:ascii="Didot" w:hAnsi="Didot" w:cs="Didot"/>
              </w:rPr>
              <w:t>L’AUE</w:t>
            </w:r>
            <w:r w:rsidRPr="00B01247">
              <w:rPr>
                <w:rFonts w:ascii="Didot" w:hAnsi="Didot" w:cs="Didot" w:hint="cs"/>
              </w:rPr>
              <w:t xml:space="preserve"> relance le </w:t>
            </w:r>
            <w:r w:rsidRPr="00B01247">
              <w:rPr>
                <w:rFonts w:ascii="Didot" w:hAnsi="Didot" w:cs="Didot" w:hint="cs"/>
                <w:b/>
                <w:bCs/>
              </w:rPr>
              <w:t>projet de marché intérieur</w:t>
            </w:r>
            <w:r w:rsidRPr="00B01247">
              <w:rPr>
                <w:rFonts w:ascii="Didot" w:hAnsi="Didot" w:cs="Didot" w:hint="cs"/>
              </w:rPr>
              <w:t xml:space="preserve">, renforce le </w:t>
            </w:r>
            <w:r w:rsidRPr="00B01247">
              <w:rPr>
                <w:rFonts w:ascii="Didot" w:hAnsi="Didot" w:cs="Didot" w:hint="cs"/>
                <w:b/>
                <w:bCs/>
              </w:rPr>
              <w:t>rôle des institutions</w:t>
            </w:r>
            <w:r w:rsidRPr="00B01247">
              <w:rPr>
                <w:rFonts w:ascii="Didot" w:hAnsi="Didot" w:cs="Didot" w:hint="cs"/>
              </w:rPr>
              <w:t xml:space="preserve"> et élargit </w:t>
            </w:r>
            <w:r w:rsidRPr="00B01247">
              <w:rPr>
                <w:rFonts w:ascii="Didot" w:hAnsi="Didot" w:cs="Didot" w:hint="cs"/>
                <w:b/>
                <w:bCs/>
              </w:rPr>
              <w:t>les compétences de la Communauté européenne</w:t>
            </w:r>
            <w:r>
              <w:rPr>
                <w:rFonts w:ascii="Didot" w:hAnsi="Didot" w:cs="Didot"/>
                <w:b/>
                <w:bCs/>
              </w:rPr>
              <w:t xml:space="preserve"> (environnement, recherche, politique étrangère)</w:t>
            </w:r>
            <w:r w:rsidRPr="00B01247">
              <w:rPr>
                <w:rFonts w:ascii="Didot" w:hAnsi="Didot" w:cs="Didot" w:hint="cs"/>
                <w:b/>
                <w:bCs/>
              </w:rPr>
              <w:t>.</w:t>
            </w:r>
          </w:p>
          <w:p w14:paraId="1116CA0A" w14:textId="77777777" w:rsidR="00B01247" w:rsidRDefault="00B01247" w:rsidP="00B50475">
            <w:pPr>
              <w:pStyle w:val="Paragraphedeliste"/>
              <w:spacing w:line="276" w:lineRule="auto"/>
              <w:ind w:left="644"/>
              <w:jc w:val="both"/>
              <w:rPr>
                <w:rFonts w:ascii="Didot" w:hAnsi="Didot" w:cs="Didot"/>
                <w:b/>
                <w:bCs/>
              </w:rPr>
            </w:pPr>
          </w:p>
          <w:p w14:paraId="08738AE6" w14:textId="2316E57A" w:rsidR="00B01247" w:rsidRPr="00B01247" w:rsidRDefault="00B01247" w:rsidP="00B50475">
            <w:pPr>
              <w:pStyle w:val="Paragraphedeliste"/>
              <w:numPr>
                <w:ilvl w:val="0"/>
                <w:numId w:val="3"/>
              </w:numPr>
              <w:spacing w:line="276" w:lineRule="auto"/>
              <w:jc w:val="both"/>
              <w:rPr>
                <w:rFonts w:ascii="Didot" w:hAnsi="Didot" w:cs="Didot" w:hint="cs"/>
                <w:b/>
                <w:bCs/>
              </w:rPr>
            </w:pPr>
            <w:r w:rsidRPr="00B01247">
              <w:rPr>
                <w:rFonts w:ascii="Didot" w:hAnsi="Didot" w:cs="Didot"/>
                <w:b/>
                <w:bCs/>
              </w:rPr>
              <w:t>9 EM procèdent à la signature</w:t>
            </w:r>
            <w:r>
              <w:rPr>
                <w:rFonts w:ascii="Didot" w:hAnsi="Didot" w:cs="Didot"/>
              </w:rPr>
              <w:t xml:space="preserve"> (France, Allemagne, Espagne, Portugal, Luxembourg, Pays-Bas, Irlande, Royaume-Uni, Belgique) rejoint par l’Italie, Grèce, Danemark. </w:t>
            </w:r>
          </w:p>
          <w:p w14:paraId="683379ED" w14:textId="4D36FEA1" w:rsidR="00B01247" w:rsidRPr="00B01247" w:rsidRDefault="00B01247" w:rsidP="00B50475">
            <w:pPr>
              <w:spacing w:line="276" w:lineRule="auto"/>
              <w:ind w:left="284"/>
              <w:rPr>
                <w:rFonts w:ascii="Didot" w:eastAsia="Times New Roman" w:hAnsi="Didot" w:cs="Didot" w:hint="cs"/>
                <w:lang w:eastAsia="fr-FR"/>
              </w:rPr>
            </w:pPr>
          </w:p>
        </w:tc>
      </w:tr>
    </w:tbl>
    <w:p w14:paraId="68D87811" w14:textId="77777777" w:rsidR="00B01247" w:rsidRDefault="00B01247" w:rsidP="00B50475">
      <w:pPr>
        <w:spacing w:before="100" w:beforeAutospacing="1" w:after="100" w:afterAutospacing="1" w:line="276" w:lineRule="auto"/>
        <w:outlineLvl w:val="1"/>
        <w:rPr>
          <w:rFonts w:ascii="Didot" w:eastAsia="Times New Roman" w:hAnsi="Didot" w:cs="Didot"/>
          <w:b/>
          <w:bCs/>
          <w:color w:val="C00000"/>
          <w:sz w:val="26"/>
          <w:szCs w:val="26"/>
          <w:lang w:eastAsia="fr-FR"/>
        </w:rPr>
      </w:pPr>
    </w:p>
    <w:p w14:paraId="54D9F1E1" w14:textId="7A1421FD" w:rsidR="00B01247" w:rsidRPr="00B50475" w:rsidRDefault="00B01247" w:rsidP="00B50475">
      <w:pPr>
        <w:pStyle w:val="Paragraphedeliste"/>
        <w:numPr>
          <w:ilvl w:val="0"/>
          <w:numId w:val="5"/>
        </w:numPr>
        <w:spacing w:before="100" w:beforeAutospacing="1" w:after="100" w:afterAutospacing="1" w:line="276" w:lineRule="auto"/>
        <w:outlineLvl w:val="1"/>
        <w:rPr>
          <w:rFonts w:ascii="Didot" w:eastAsia="Times New Roman" w:hAnsi="Didot" w:cs="Didot" w:hint="cs"/>
          <w:b/>
          <w:bCs/>
          <w:color w:val="C00000"/>
          <w:sz w:val="28"/>
          <w:szCs w:val="28"/>
          <w:u w:val="single"/>
          <w:lang w:eastAsia="fr-FR"/>
        </w:rPr>
      </w:pPr>
      <w:r w:rsidRPr="00B50475">
        <w:rPr>
          <w:rFonts w:ascii="Didot" w:eastAsia="Times New Roman" w:hAnsi="Didot" w:cs="Didot" w:hint="cs"/>
          <w:b/>
          <w:bCs/>
          <w:color w:val="C00000"/>
          <w:sz w:val="28"/>
          <w:szCs w:val="28"/>
          <w:u w:val="single"/>
          <w:lang w:eastAsia="fr-FR"/>
        </w:rPr>
        <w:t>Du marché commun au marché unique</w:t>
      </w:r>
    </w:p>
    <w:p w14:paraId="48213462" w14:textId="77777777" w:rsidR="00B01247" w:rsidRPr="00B01247" w:rsidRDefault="00B01247" w:rsidP="00B50475">
      <w:pPr>
        <w:spacing w:before="100" w:beforeAutospacing="1" w:after="100" w:afterAutospacing="1" w:line="276" w:lineRule="auto"/>
        <w:jc w:val="both"/>
        <w:rPr>
          <w:rFonts w:ascii="Didot" w:eastAsia="Times New Roman" w:hAnsi="Didot" w:cs="Didot" w:hint="cs"/>
          <w:lang w:eastAsia="fr-FR"/>
        </w:rPr>
      </w:pPr>
      <w:r w:rsidRPr="00B01247">
        <w:rPr>
          <w:rFonts w:ascii="Didot" w:eastAsia="Times New Roman" w:hAnsi="Didot" w:cs="Didot" w:hint="cs"/>
          <w:lang w:eastAsia="fr-FR"/>
        </w:rPr>
        <w:t xml:space="preserve">A la fin des années 1960, au terme des douze années de transition initialement fixées par le traité de Rome de 1957, </w:t>
      </w:r>
      <w:r w:rsidRPr="00B01247">
        <w:rPr>
          <w:rFonts w:ascii="Didot" w:eastAsia="Times New Roman" w:hAnsi="Didot" w:cs="Didot" w:hint="cs"/>
          <w:b/>
          <w:bCs/>
          <w:lang w:eastAsia="fr-FR"/>
        </w:rPr>
        <w:t>le projet de marché commun n’est que partiellement réalisé.</w:t>
      </w:r>
    </w:p>
    <w:p w14:paraId="796E7AF9" w14:textId="4C2771DB" w:rsidR="00B50475" w:rsidRPr="00B50475" w:rsidRDefault="00B01247" w:rsidP="00B50475">
      <w:pPr>
        <w:pStyle w:val="Paragraphedeliste"/>
        <w:numPr>
          <w:ilvl w:val="0"/>
          <w:numId w:val="6"/>
        </w:numPr>
        <w:spacing w:before="100" w:beforeAutospacing="1" w:after="100" w:afterAutospacing="1" w:line="276" w:lineRule="auto"/>
        <w:jc w:val="both"/>
        <w:rPr>
          <w:rFonts w:ascii="Didot" w:eastAsia="Times New Roman" w:hAnsi="Didot" w:cs="Didot" w:hint="cs"/>
          <w:lang w:eastAsia="fr-FR"/>
        </w:rPr>
      </w:pPr>
      <w:r w:rsidRPr="00B01247">
        <w:rPr>
          <w:rFonts w:ascii="Didot" w:eastAsia="Times New Roman" w:hAnsi="Didot" w:cs="Didot" w:hint="cs"/>
          <w:b/>
          <w:bCs/>
          <w:lang w:eastAsia="fr-FR"/>
        </w:rPr>
        <w:t>Une union douanière est établie en 1968,</w:t>
      </w:r>
      <w:r w:rsidRPr="00B01247">
        <w:rPr>
          <w:rFonts w:ascii="Didot" w:eastAsia="Times New Roman" w:hAnsi="Didot" w:cs="Didot" w:hint="cs"/>
          <w:lang w:eastAsia="fr-FR"/>
        </w:rPr>
        <w:t xml:space="preserve"> après la disparition progressive des droits de douane entre </w:t>
      </w:r>
      <w:proofErr w:type="spellStart"/>
      <w:r w:rsidRPr="00B01247">
        <w:rPr>
          <w:rFonts w:ascii="Didot" w:eastAsia="Times New Roman" w:hAnsi="Didot" w:cs="Didot" w:hint="cs"/>
          <w:lang w:eastAsia="fr-FR"/>
        </w:rPr>
        <w:t>Etats</w:t>
      </w:r>
      <w:proofErr w:type="spellEnd"/>
      <w:r w:rsidRPr="00B01247">
        <w:rPr>
          <w:rFonts w:ascii="Didot" w:eastAsia="Times New Roman" w:hAnsi="Didot" w:cs="Didot" w:hint="cs"/>
          <w:lang w:eastAsia="fr-FR"/>
        </w:rPr>
        <w:t xml:space="preserve"> membres et l’instauration d’un tarif extérieur commun pour les biens échangés avec les pays tiers. Mais d’importants obstacles à la liberté de circulation - barrières physiques, politiques et fiscales - persistent jusqu’au début des années 1980.</w:t>
      </w:r>
      <w:r w:rsidR="00B50475">
        <w:rPr>
          <w:rFonts w:ascii="Didot" w:eastAsia="Times New Roman" w:hAnsi="Didot" w:cs="Didot"/>
          <w:lang w:eastAsia="fr-FR"/>
        </w:rPr>
        <w:br/>
      </w:r>
    </w:p>
    <w:p w14:paraId="79DF3142" w14:textId="77777777" w:rsidR="00B01247" w:rsidRPr="00B01247" w:rsidRDefault="00B01247" w:rsidP="00B50475">
      <w:pPr>
        <w:pStyle w:val="Paragraphedeliste"/>
        <w:numPr>
          <w:ilvl w:val="0"/>
          <w:numId w:val="6"/>
        </w:numPr>
        <w:spacing w:before="100" w:beforeAutospacing="1" w:after="100" w:afterAutospacing="1" w:line="276" w:lineRule="auto"/>
        <w:jc w:val="both"/>
        <w:rPr>
          <w:rFonts w:ascii="Didot" w:eastAsia="Times New Roman" w:hAnsi="Didot" w:cs="Didot" w:hint="cs"/>
          <w:lang w:eastAsia="fr-FR"/>
        </w:rPr>
      </w:pPr>
      <w:r w:rsidRPr="00B01247">
        <w:rPr>
          <w:rFonts w:ascii="Didot" w:eastAsia="Times New Roman" w:hAnsi="Didot" w:cs="Didot" w:hint="cs"/>
          <w:lang w:eastAsia="fr-FR"/>
        </w:rPr>
        <w:t xml:space="preserve">L’Acte unique européen vise ainsi à </w:t>
      </w:r>
      <w:r w:rsidRPr="00B01247">
        <w:rPr>
          <w:rFonts w:ascii="Didot" w:eastAsia="Times New Roman" w:hAnsi="Didot" w:cs="Didot" w:hint="cs"/>
          <w:b/>
          <w:bCs/>
          <w:lang w:eastAsia="fr-FR"/>
        </w:rPr>
        <w:t>rendre effectives les libertés de circulation accordées en droit par le traité de Rome sous le nom de marché commun</w:t>
      </w:r>
      <w:r w:rsidRPr="00B01247">
        <w:rPr>
          <w:rFonts w:ascii="Didot" w:eastAsia="Times New Roman" w:hAnsi="Didot" w:cs="Didot" w:hint="cs"/>
          <w:lang w:eastAsia="fr-FR"/>
        </w:rPr>
        <w:t xml:space="preserve">. Il prévoit de mener à terme, avant le 1er janvier 1993, la réalisation du marché intérieur (rebaptisé marché unique), un </w:t>
      </w:r>
      <w:r w:rsidRPr="00B01247">
        <w:rPr>
          <w:rFonts w:ascii="Didot" w:eastAsia="Times New Roman" w:hAnsi="Didot" w:cs="Didot" w:hint="cs"/>
          <w:color w:val="7030A0"/>
          <w:lang w:eastAsia="fr-FR"/>
        </w:rPr>
        <w:t>“</w:t>
      </w:r>
      <w:r w:rsidRPr="00B01247">
        <w:rPr>
          <w:rFonts w:ascii="Didot" w:eastAsia="Times New Roman" w:hAnsi="Didot" w:cs="Didot" w:hint="cs"/>
          <w:i/>
          <w:iCs/>
          <w:color w:val="7030A0"/>
          <w:lang w:eastAsia="fr-FR"/>
        </w:rPr>
        <w:t>espace sans frontières intérieures dans lequel la libre circulation des marchandises, des personnes, des services et des capitaux est assurée</w:t>
      </w:r>
      <w:r w:rsidRPr="00B01247">
        <w:rPr>
          <w:rFonts w:ascii="Didot" w:eastAsia="Times New Roman" w:hAnsi="Didot" w:cs="Didot" w:hint="cs"/>
          <w:color w:val="7030A0"/>
          <w:lang w:eastAsia="fr-FR"/>
        </w:rPr>
        <w:t>” (article 7 du traité CEE).</w:t>
      </w:r>
    </w:p>
    <w:p w14:paraId="02719F80" w14:textId="77777777" w:rsidR="00B01247" w:rsidRPr="00B01247" w:rsidRDefault="00B01247" w:rsidP="00B50475">
      <w:pPr>
        <w:spacing w:before="100" w:beforeAutospacing="1" w:after="100" w:afterAutospacing="1" w:line="276" w:lineRule="auto"/>
        <w:rPr>
          <w:rFonts w:ascii="Didot" w:eastAsia="Times New Roman" w:hAnsi="Didot" w:cs="Didot" w:hint="cs"/>
          <w:lang w:eastAsia="fr-FR"/>
        </w:rPr>
      </w:pPr>
      <w:r w:rsidRPr="00B01247">
        <w:rPr>
          <w:rFonts w:ascii="Didot" w:eastAsia="Times New Roman" w:hAnsi="Didot" w:cs="Didot" w:hint="cs"/>
          <w:lang w:eastAsia="fr-FR"/>
        </w:rPr>
        <w:t xml:space="preserve">Outre cette échéance, il permet à la Commission alors présidée par Jacques Delors d’initier près de 300 directives pour démanteler les obstacles à ces </w:t>
      </w:r>
      <w:r w:rsidRPr="00B01247">
        <w:rPr>
          <w:rFonts w:ascii="Didot" w:eastAsia="Times New Roman" w:hAnsi="Didot" w:cs="Didot" w:hint="cs"/>
          <w:i/>
          <w:iCs/>
          <w:lang w:eastAsia="fr-FR"/>
        </w:rPr>
        <w:t>“quatre libertés”</w:t>
      </w:r>
      <w:r w:rsidRPr="00B01247">
        <w:rPr>
          <w:rFonts w:ascii="Didot" w:eastAsia="Times New Roman" w:hAnsi="Didot" w:cs="Didot" w:hint="cs"/>
          <w:lang w:eastAsia="fr-FR"/>
        </w:rPr>
        <w:t>.</w:t>
      </w:r>
    </w:p>
    <w:p w14:paraId="4ACDC7D8" w14:textId="77777777" w:rsidR="00B50475" w:rsidRDefault="00B50475" w:rsidP="00B50475">
      <w:pPr>
        <w:spacing w:before="100" w:beforeAutospacing="1" w:after="100" w:afterAutospacing="1" w:line="276" w:lineRule="auto"/>
        <w:outlineLvl w:val="1"/>
        <w:rPr>
          <w:rFonts w:ascii="Didot" w:eastAsia="Times New Roman" w:hAnsi="Didot" w:cs="Didot"/>
          <w:b/>
          <w:bCs/>
          <w:sz w:val="36"/>
          <w:szCs w:val="36"/>
          <w:lang w:eastAsia="fr-FR"/>
        </w:rPr>
      </w:pPr>
    </w:p>
    <w:p w14:paraId="5C00A1FA" w14:textId="5D42B0BB" w:rsidR="00B01247" w:rsidRPr="00B50475" w:rsidRDefault="00B01247" w:rsidP="00B50475">
      <w:pPr>
        <w:pStyle w:val="Paragraphedeliste"/>
        <w:numPr>
          <w:ilvl w:val="0"/>
          <w:numId w:val="5"/>
        </w:numPr>
        <w:spacing w:before="100" w:beforeAutospacing="1" w:after="100" w:afterAutospacing="1" w:line="276" w:lineRule="auto"/>
        <w:outlineLvl w:val="1"/>
        <w:rPr>
          <w:rFonts w:ascii="Didot" w:eastAsia="Times New Roman" w:hAnsi="Didot" w:cs="Didot" w:hint="cs"/>
          <w:b/>
          <w:bCs/>
          <w:color w:val="C00000"/>
          <w:sz w:val="28"/>
          <w:szCs w:val="28"/>
          <w:u w:val="single"/>
          <w:lang w:eastAsia="fr-FR"/>
        </w:rPr>
      </w:pPr>
      <w:r w:rsidRPr="00B50475">
        <w:rPr>
          <w:rFonts w:ascii="Didot" w:eastAsia="Times New Roman" w:hAnsi="Didot" w:cs="Didot" w:hint="cs"/>
          <w:b/>
          <w:bCs/>
          <w:color w:val="C00000"/>
          <w:sz w:val="28"/>
          <w:szCs w:val="28"/>
          <w:u w:val="single"/>
          <w:lang w:eastAsia="fr-FR"/>
        </w:rPr>
        <w:lastRenderedPageBreak/>
        <w:t>La réforme des compétences communautaires</w:t>
      </w:r>
    </w:p>
    <w:p w14:paraId="1F52E1AB" w14:textId="77777777" w:rsidR="00B01247" w:rsidRPr="00B01247" w:rsidRDefault="00B01247" w:rsidP="00B50475">
      <w:pPr>
        <w:spacing w:before="100" w:beforeAutospacing="1" w:after="100" w:afterAutospacing="1" w:line="276" w:lineRule="auto"/>
        <w:rPr>
          <w:rFonts w:ascii="Didot" w:eastAsia="Times New Roman" w:hAnsi="Didot" w:cs="Didot" w:hint="cs"/>
          <w:lang w:eastAsia="fr-FR"/>
        </w:rPr>
      </w:pPr>
      <w:r w:rsidRPr="00B01247">
        <w:rPr>
          <w:rFonts w:ascii="Didot" w:eastAsia="Times New Roman" w:hAnsi="Didot" w:cs="Didot" w:hint="cs"/>
          <w:lang w:eastAsia="fr-FR"/>
        </w:rPr>
        <w:t xml:space="preserve">En signant l’Acte unique européen, les </w:t>
      </w:r>
      <w:proofErr w:type="spellStart"/>
      <w:r w:rsidRPr="00B01247">
        <w:rPr>
          <w:rFonts w:ascii="Didot" w:eastAsia="Times New Roman" w:hAnsi="Didot" w:cs="Didot" w:hint="cs"/>
          <w:lang w:eastAsia="fr-FR"/>
        </w:rPr>
        <w:t>Etats</w:t>
      </w:r>
      <w:proofErr w:type="spellEnd"/>
      <w:r w:rsidRPr="00B01247">
        <w:rPr>
          <w:rFonts w:ascii="Didot" w:eastAsia="Times New Roman" w:hAnsi="Didot" w:cs="Didot" w:hint="cs"/>
          <w:lang w:eastAsia="fr-FR"/>
        </w:rPr>
        <w:t xml:space="preserve"> membres de l’Union européenne </w:t>
      </w:r>
      <w:r w:rsidRPr="00B01247">
        <w:rPr>
          <w:rFonts w:ascii="Didot" w:eastAsia="Times New Roman" w:hAnsi="Didot" w:cs="Didot" w:hint="cs"/>
          <w:b/>
          <w:bCs/>
          <w:lang w:eastAsia="fr-FR"/>
        </w:rPr>
        <w:t>délèguent une partie de leur pouvoir national aux institutions européennes</w:t>
      </w:r>
      <w:r w:rsidRPr="00B01247">
        <w:rPr>
          <w:rFonts w:ascii="Didot" w:eastAsia="Times New Roman" w:hAnsi="Didot" w:cs="Didot" w:hint="cs"/>
          <w:lang w:eastAsia="fr-FR"/>
        </w:rPr>
        <w:t xml:space="preserve"> dans de nouveaux domaines :</w:t>
      </w:r>
    </w:p>
    <w:p w14:paraId="7221D5AD" w14:textId="1C32D826" w:rsidR="00B50475" w:rsidRPr="00B01247" w:rsidRDefault="00B50475" w:rsidP="00B50475">
      <w:pPr>
        <w:numPr>
          <w:ilvl w:val="0"/>
          <w:numId w:val="1"/>
        </w:numPr>
        <w:spacing w:before="100" w:beforeAutospacing="1" w:after="100" w:afterAutospacing="1" w:line="276" w:lineRule="auto"/>
        <w:jc w:val="both"/>
        <w:rPr>
          <w:rFonts w:ascii="Didot" w:eastAsia="Times New Roman" w:hAnsi="Didot" w:cs="Didot" w:hint="cs"/>
          <w:color w:val="C45911" w:themeColor="accent2" w:themeShade="BF"/>
          <w:lang w:eastAsia="fr-FR"/>
        </w:rPr>
      </w:pPr>
      <w:r w:rsidRPr="00B50475">
        <w:rPr>
          <w:rFonts w:ascii="Didot" w:eastAsia="Times New Roman" w:hAnsi="Didot" w:cs="Didot"/>
          <w:color w:val="C45911" w:themeColor="accent2" w:themeShade="BF"/>
          <w:lang w:eastAsia="fr-FR"/>
        </w:rPr>
        <w:t xml:space="preserve">Le </w:t>
      </w:r>
      <w:r w:rsidR="00B01247" w:rsidRPr="00B01247">
        <w:rPr>
          <w:rFonts w:ascii="Didot" w:eastAsia="Times New Roman" w:hAnsi="Didot" w:cs="Didot" w:hint="cs"/>
          <w:color w:val="C45911" w:themeColor="accent2" w:themeShade="BF"/>
          <w:lang w:eastAsia="fr-FR"/>
        </w:rPr>
        <w:t xml:space="preserve">domaine de la recherche et du développement </w:t>
      </w:r>
      <w:r w:rsidRPr="00B01247">
        <w:rPr>
          <w:rFonts w:ascii="Didot" w:eastAsia="Times New Roman" w:hAnsi="Didot" w:cs="Didot"/>
          <w:color w:val="C45911" w:themeColor="accent2" w:themeShade="BF"/>
          <w:lang w:eastAsia="fr-FR"/>
        </w:rPr>
        <w:t>technologique</w:t>
      </w:r>
      <w:r w:rsidRPr="00B50475">
        <w:rPr>
          <w:rFonts w:ascii="Didot" w:eastAsia="Times New Roman" w:hAnsi="Didot" w:cs="Didot"/>
          <w:color w:val="C45911" w:themeColor="accent2" w:themeShade="BF"/>
          <w:lang w:eastAsia="fr-FR"/>
        </w:rPr>
        <w:t>, de</w:t>
      </w:r>
      <w:r w:rsidR="00B01247" w:rsidRPr="00B01247">
        <w:rPr>
          <w:rFonts w:ascii="Didot" w:eastAsia="Times New Roman" w:hAnsi="Didot" w:cs="Didot" w:hint="cs"/>
          <w:color w:val="C45911" w:themeColor="accent2" w:themeShade="BF"/>
          <w:lang w:eastAsia="fr-FR"/>
        </w:rPr>
        <w:t xml:space="preserve"> l’environnement, de la politique sociale, de la cohésion économique et sociale, de la politique monétaire et de la coopération en politique étrangère </w:t>
      </w:r>
      <w:r>
        <w:rPr>
          <w:rFonts w:ascii="Didot" w:eastAsia="Times New Roman" w:hAnsi="Didot" w:cs="Didot"/>
          <w:color w:val="C45911" w:themeColor="accent2" w:themeShade="BF"/>
          <w:lang w:eastAsia="fr-FR"/>
        </w:rPr>
        <w:br/>
      </w:r>
    </w:p>
    <w:p w14:paraId="2A633D9D" w14:textId="35DD9BC0" w:rsidR="00B50475" w:rsidRDefault="00B50475" w:rsidP="00B50475">
      <w:pPr>
        <w:numPr>
          <w:ilvl w:val="0"/>
          <w:numId w:val="1"/>
        </w:numPr>
        <w:spacing w:before="100" w:beforeAutospacing="1" w:after="100" w:afterAutospacing="1" w:line="276" w:lineRule="auto"/>
        <w:jc w:val="both"/>
        <w:rPr>
          <w:rFonts w:ascii="Didot" w:eastAsia="Times New Roman" w:hAnsi="Didot" w:cs="Didot"/>
          <w:lang w:eastAsia="fr-FR"/>
        </w:rPr>
      </w:pPr>
      <w:r w:rsidRPr="00B01247">
        <w:rPr>
          <w:rFonts w:ascii="Didot" w:eastAsia="Times New Roman" w:hAnsi="Didot" w:cs="Didot"/>
          <w:lang w:eastAsia="fr-FR"/>
        </w:rPr>
        <w:t>Le</w:t>
      </w:r>
      <w:r w:rsidR="00B01247" w:rsidRPr="00B01247">
        <w:rPr>
          <w:rFonts w:ascii="Didot" w:eastAsia="Times New Roman" w:hAnsi="Didot" w:cs="Didot" w:hint="cs"/>
          <w:lang w:eastAsia="fr-FR"/>
        </w:rPr>
        <w:t xml:space="preserve"> traité codifie la coopération en matière de politique économique et monétaire et prévoit les réformes institutionnelles qui conduiront au traité de Maastricht instituant </w:t>
      </w:r>
      <w:r w:rsidR="00B01247" w:rsidRPr="00B01247">
        <w:rPr>
          <w:rFonts w:ascii="Didot" w:eastAsia="Times New Roman" w:hAnsi="Didot" w:cs="Didot" w:hint="cs"/>
          <w:b/>
          <w:bCs/>
          <w:lang w:eastAsia="fr-FR"/>
        </w:rPr>
        <w:t>l’Union monétaire</w:t>
      </w:r>
      <w:r w:rsidR="00B01247" w:rsidRPr="00B01247">
        <w:rPr>
          <w:rFonts w:ascii="Didot" w:eastAsia="Times New Roman" w:hAnsi="Didot" w:cs="Didot" w:hint="cs"/>
          <w:lang w:eastAsia="fr-FR"/>
        </w:rPr>
        <w:t> </w:t>
      </w:r>
    </w:p>
    <w:p w14:paraId="11ACED65" w14:textId="77777777" w:rsidR="00B50475" w:rsidRPr="00B01247" w:rsidRDefault="00B50475" w:rsidP="00B50475">
      <w:pPr>
        <w:spacing w:before="100" w:beforeAutospacing="1" w:after="100" w:afterAutospacing="1" w:line="276" w:lineRule="auto"/>
        <w:ind w:left="720"/>
        <w:jc w:val="both"/>
        <w:rPr>
          <w:rFonts w:ascii="Didot" w:eastAsia="Times New Roman" w:hAnsi="Didot" w:cs="Didot" w:hint="cs"/>
          <w:lang w:eastAsia="fr-FR"/>
        </w:rPr>
      </w:pPr>
    </w:p>
    <w:p w14:paraId="40CAEA79" w14:textId="2738F5EC" w:rsidR="00B01247" w:rsidRPr="00B01247" w:rsidRDefault="00B50475" w:rsidP="00B50475">
      <w:pPr>
        <w:numPr>
          <w:ilvl w:val="0"/>
          <w:numId w:val="1"/>
        </w:numPr>
        <w:spacing w:before="100" w:beforeAutospacing="1" w:after="100" w:afterAutospacing="1" w:line="276" w:lineRule="auto"/>
        <w:jc w:val="both"/>
        <w:rPr>
          <w:rFonts w:ascii="Didot" w:eastAsia="Times New Roman" w:hAnsi="Didot" w:cs="Didot" w:hint="cs"/>
          <w:lang w:eastAsia="fr-FR"/>
        </w:rPr>
      </w:pPr>
      <w:r w:rsidRPr="00B01247">
        <w:rPr>
          <w:rFonts w:ascii="Didot" w:eastAsia="Times New Roman" w:hAnsi="Didot" w:cs="Didot"/>
          <w:lang w:eastAsia="fr-FR"/>
        </w:rPr>
        <w:t>Pour</w:t>
      </w:r>
      <w:r w:rsidR="00B01247" w:rsidRPr="00B01247">
        <w:rPr>
          <w:rFonts w:ascii="Didot" w:eastAsia="Times New Roman" w:hAnsi="Didot" w:cs="Didot" w:hint="cs"/>
          <w:lang w:eastAsia="fr-FR"/>
        </w:rPr>
        <w:t xml:space="preserve"> répondre à l’objectif de cohésion économique et sociale, le traité décide que </w:t>
      </w:r>
      <w:r w:rsidR="00B01247" w:rsidRPr="00B01247">
        <w:rPr>
          <w:rFonts w:ascii="Didot" w:eastAsia="Times New Roman" w:hAnsi="Didot" w:cs="Didot" w:hint="cs"/>
          <w:b/>
          <w:bCs/>
          <w:lang w:eastAsia="fr-FR"/>
        </w:rPr>
        <w:t>les Fonds structurels</w:t>
      </w:r>
      <w:r w:rsidR="00B01247" w:rsidRPr="00B01247">
        <w:rPr>
          <w:rFonts w:ascii="Didot" w:eastAsia="Times New Roman" w:hAnsi="Didot" w:cs="Didot" w:hint="cs"/>
          <w:lang w:eastAsia="fr-FR"/>
        </w:rPr>
        <w:t xml:space="preserve">, qui appuient financièrement le développement des régions et des actions en faveur des publics en difficulté </w:t>
      </w:r>
      <w:r w:rsidRPr="00B01247">
        <w:rPr>
          <w:rFonts w:ascii="Didot" w:eastAsia="Times New Roman" w:hAnsi="Didot" w:cs="Didot" w:hint="cs"/>
          <w:lang w:eastAsia="fr-FR"/>
        </w:rPr>
        <w:t>doivent être réformés </w:t>
      </w:r>
      <w:r>
        <w:rPr>
          <w:rFonts w:ascii="Didot" w:eastAsia="Times New Roman" w:hAnsi="Didot" w:cs="Didot"/>
          <w:lang w:eastAsia="fr-FR"/>
        </w:rPr>
        <w:br/>
        <w:t xml:space="preserve">&gt; </w:t>
      </w:r>
      <w:r w:rsidR="00B01247" w:rsidRPr="00B01247">
        <w:rPr>
          <w:rFonts w:ascii="Didot" w:eastAsia="Times New Roman" w:hAnsi="Didot" w:cs="Didot" w:hint="cs"/>
          <w:b/>
          <w:bCs/>
          <w:lang w:eastAsia="fr-FR"/>
        </w:rPr>
        <w:t>Fonds européen d’orientation et de garantie agricole - FEOGA, Fonds européen de développement régional - FEDER, Fonds social européen - FSE</w:t>
      </w:r>
      <w:r w:rsidR="00B01247" w:rsidRPr="00B01247">
        <w:rPr>
          <w:rFonts w:ascii="Didot" w:eastAsia="Times New Roman" w:hAnsi="Didot" w:cs="Didot" w:hint="cs"/>
          <w:lang w:eastAsia="fr-FR"/>
        </w:rPr>
        <w:t xml:space="preserve">), </w:t>
      </w:r>
    </w:p>
    <w:p w14:paraId="70FD6C34" w14:textId="77777777" w:rsidR="0001511C" w:rsidRDefault="0001511C" w:rsidP="00B50475">
      <w:pPr>
        <w:spacing w:before="100" w:beforeAutospacing="1" w:after="100" w:afterAutospacing="1" w:line="276" w:lineRule="auto"/>
        <w:outlineLvl w:val="1"/>
        <w:rPr>
          <w:rFonts w:ascii="Didot" w:eastAsia="Times New Roman" w:hAnsi="Didot" w:cs="Didot"/>
          <w:b/>
          <w:bCs/>
          <w:sz w:val="36"/>
          <w:szCs w:val="36"/>
          <w:lang w:eastAsia="fr-FR"/>
        </w:rPr>
      </w:pPr>
    </w:p>
    <w:p w14:paraId="43920271" w14:textId="50C3929E" w:rsidR="00B01247" w:rsidRPr="0001511C" w:rsidRDefault="00B01247" w:rsidP="0001511C">
      <w:pPr>
        <w:pStyle w:val="Paragraphedeliste"/>
        <w:numPr>
          <w:ilvl w:val="0"/>
          <w:numId w:val="5"/>
        </w:numPr>
        <w:spacing w:before="100" w:beforeAutospacing="1" w:after="100" w:afterAutospacing="1" w:line="276" w:lineRule="auto"/>
        <w:outlineLvl w:val="1"/>
        <w:rPr>
          <w:rFonts w:ascii="Didot" w:eastAsia="Times New Roman" w:hAnsi="Didot" w:cs="Didot" w:hint="cs"/>
          <w:b/>
          <w:bCs/>
          <w:color w:val="C00000"/>
          <w:sz w:val="28"/>
          <w:szCs w:val="28"/>
          <w:u w:val="single"/>
          <w:lang w:eastAsia="fr-FR"/>
        </w:rPr>
      </w:pPr>
      <w:r w:rsidRPr="0001511C">
        <w:rPr>
          <w:rFonts w:ascii="Didot" w:eastAsia="Times New Roman" w:hAnsi="Didot" w:cs="Didot" w:hint="cs"/>
          <w:b/>
          <w:bCs/>
          <w:color w:val="C00000"/>
          <w:sz w:val="28"/>
          <w:szCs w:val="28"/>
          <w:u w:val="single"/>
          <w:lang w:eastAsia="fr-FR"/>
        </w:rPr>
        <w:t>Les réformes institutionnelles</w:t>
      </w:r>
    </w:p>
    <w:p w14:paraId="7F23A972" w14:textId="77777777" w:rsidR="00F232D4" w:rsidRDefault="00B01247" w:rsidP="00F232D4">
      <w:pPr>
        <w:spacing w:before="100" w:beforeAutospacing="1" w:after="100" w:afterAutospacing="1" w:line="276" w:lineRule="auto"/>
        <w:jc w:val="both"/>
        <w:rPr>
          <w:rFonts w:ascii="Didot" w:eastAsia="Times New Roman" w:hAnsi="Didot" w:cs="Didot"/>
          <w:lang w:eastAsia="fr-FR"/>
        </w:rPr>
      </w:pPr>
      <w:r w:rsidRPr="00B01247">
        <w:rPr>
          <w:rFonts w:ascii="Didot" w:eastAsia="Times New Roman" w:hAnsi="Didot" w:cs="Didot" w:hint="cs"/>
          <w:lang w:eastAsia="fr-FR"/>
        </w:rPr>
        <w:t xml:space="preserve">Le Conseil des ministres de l’Union européenne décide désormais à la </w:t>
      </w:r>
      <w:r w:rsidRPr="00B01247">
        <w:rPr>
          <w:rFonts w:ascii="Didot" w:eastAsia="Times New Roman" w:hAnsi="Didot" w:cs="Didot" w:hint="cs"/>
          <w:b/>
          <w:bCs/>
          <w:lang w:eastAsia="fr-FR"/>
        </w:rPr>
        <w:t>majorité qualifiée</w:t>
      </w:r>
      <w:r w:rsidRPr="00B01247">
        <w:rPr>
          <w:rFonts w:ascii="Didot" w:eastAsia="Times New Roman" w:hAnsi="Didot" w:cs="Didot" w:hint="cs"/>
          <w:lang w:eastAsia="fr-FR"/>
        </w:rPr>
        <w:t xml:space="preserve"> dans plusieurs domaines stratégiques pour l’achèvement du marché intérieur : tarif douanier extérieur, libre prestation de services, libre circulation des capitaux, </w:t>
      </w:r>
      <w:r w:rsidRPr="00B01247">
        <w:rPr>
          <w:rFonts w:ascii="Didot" w:eastAsia="Times New Roman" w:hAnsi="Didot" w:cs="Didot" w:hint="cs"/>
          <w:b/>
          <w:bCs/>
          <w:lang w:eastAsia="fr-FR"/>
        </w:rPr>
        <w:t>transports maritimes et aériens</w:t>
      </w:r>
      <w:r w:rsidRPr="00B01247">
        <w:rPr>
          <w:rFonts w:ascii="Didot" w:eastAsia="Times New Roman" w:hAnsi="Didot" w:cs="Didot" w:hint="cs"/>
          <w:lang w:eastAsia="fr-FR"/>
        </w:rPr>
        <w:t xml:space="preserve">, harmonisation des législations. </w:t>
      </w:r>
    </w:p>
    <w:p w14:paraId="38161345" w14:textId="262BF35B" w:rsidR="00B01247" w:rsidRPr="00B01247" w:rsidRDefault="00B01247" w:rsidP="00F232D4">
      <w:pPr>
        <w:spacing w:before="100" w:beforeAutospacing="1" w:after="100" w:afterAutospacing="1" w:line="276" w:lineRule="auto"/>
        <w:jc w:val="both"/>
        <w:rPr>
          <w:rFonts w:ascii="Didot" w:eastAsia="Times New Roman" w:hAnsi="Didot" w:cs="Didot" w:hint="cs"/>
          <w:lang w:eastAsia="fr-FR"/>
        </w:rPr>
      </w:pPr>
      <w:r w:rsidRPr="00B01247">
        <w:rPr>
          <w:rFonts w:ascii="Didot" w:eastAsia="Times New Roman" w:hAnsi="Didot" w:cs="Didot" w:hint="cs"/>
          <w:lang w:eastAsia="fr-FR"/>
        </w:rPr>
        <w:t xml:space="preserve">De nouveaux domaines de compétences, comme la </w:t>
      </w:r>
      <w:r w:rsidRPr="00B01247">
        <w:rPr>
          <w:rFonts w:ascii="Didot" w:eastAsia="Times New Roman" w:hAnsi="Didot" w:cs="Didot" w:hint="cs"/>
          <w:b/>
          <w:bCs/>
          <w:lang w:eastAsia="fr-FR"/>
        </w:rPr>
        <w:t>recherche et l’environnement</w:t>
      </w:r>
      <w:r w:rsidRPr="00B01247">
        <w:rPr>
          <w:rFonts w:ascii="Didot" w:eastAsia="Times New Roman" w:hAnsi="Didot" w:cs="Didot" w:hint="cs"/>
          <w:lang w:eastAsia="fr-FR"/>
        </w:rPr>
        <w:t>, obéissent également à ce principe. Les questions fiscales et sociales, à l’exception de la santé et de la sécurité des travailleurs, sont en revanche toujours régies par la règle de l’unanimité.</w:t>
      </w:r>
    </w:p>
    <w:p w14:paraId="41EDFD28" w14:textId="77777777" w:rsidR="00B01247" w:rsidRPr="00B01247" w:rsidRDefault="00B01247" w:rsidP="00B50475">
      <w:pPr>
        <w:spacing w:line="276" w:lineRule="auto"/>
        <w:rPr>
          <w:rFonts w:ascii="Didot" w:eastAsia="Times New Roman" w:hAnsi="Didot" w:cs="Didot" w:hint="cs"/>
          <w:lang w:eastAsia="fr-FR"/>
        </w:rPr>
      </w:pPr>
      <w:r w:rsidRPr="00B01247">
        <w:rPr>
          <w:rFonts w:ascii="Didot" w:eastAsia="Times New Roman" w:hAnsi="Didot" w:cs="Didot" w:hint="cs"/>
          <w:lang w:eastAsia="fr-FR"/>
        </w:rPr>
        <w:t xml:space="preserve">Le </w:t>
      </w:r>
      <w:r w:rsidRPr="00B01247">
        <w:rPr>
          <w:rFonts w:ascii="Didot" w:eastAsia="Times New Roman" w:hAnsi="Didot" w:cs="Didot" w:hint="cs"/>
          <w:b/>
          <w:bCs/>
          <w:lang w:eastAsia="fr-FR"/>
        </w:rPr>
        <w:t>seuil de la majorité qualifiée</w:t>
      </w:r>
      <w:r w:rsidRPr="00B01247">
        <w:rPr>
          <w:rFonts w:ascii="Didot" w:eastAsia="Times New Roman" w:hAnsi="Didot" w:cs="Didot" w:hint="cs"/>
          <w:lang w:eastAsia="fr-FR"/>
        </w:rPr>
        <w:t xml:space="preserve"> lors d’un vote au Conseil se calcule en fonction du nombre de voix attribué à chaque </w:t>
      </w:r>
      <w:proofErr w:type="spellStart"/>
      <w:r w:rsidRPr="00B01247">
        <w:rPr>
          <w:rFonts w:ascii="Didot" w:eastAsia="Times New Roman" w:hAnsi="Didot" w:cs="Didot" w:hint="cs"/>
          <w:lang w:eastAsia="fr-FR"/>
        </w:rPr>
        <w:t>Etat</w:t>
      </w:r>
      <w:proofErr w:type="spellEnd"/>
      <w:r w:rsidRPr="00B01247">
        <w:rPr>
          <w:rFonts w:ascii="Didot" w:eastAsia="Times New Roman" w:hAnsi="Didot" w:cs="Didot" w:hint="cs"/>
          <w:lang w:eastAsia="fr-FR"/>
        </w:rPr>
        <w:t xml:space="preserve"> membre.</w:t>
      </w:r>
    </w:p>
    <w:p w14:paraId="6215BF1F" w14:textId="77777777" w:rsidR="00B01247" w:rsidRPr="00B01247" w:rsidRDefault="00B01247" w:rsidP="00F232D4">
      <w:pPr>
        <w:spacing w:before="100" w:beforeAutospacing="1" w:after="100" w:afterAutospacing="1" w:line="276" w:lineRule="auto"/>
        <w:jc w:val="both"/>
        <w:rPr>
          <w:rFonts w:ascii="Didot" w:eastAsia="Times New Roman" w:hAnsi="Didot" w:cs="Didot" w:hint="cs"/>
          <w:lang w:eastAsia="fr-FR"/>
        </w:rPr>
      </w:pPr>
      <w:r w:rsidRPr="00B01247">
        <w:rPr>
          <w:rFonts w:ascii="Didot" w:eastAsia="Times New Roman" w:hAnsi="Didot" w:cs="Didot" w:hint="cs"/>
          <w:lang w:eastAsia="fr-FR"/>
        </w:rPr>
        <w:lastRenderedPageBreak/>
        <w:t xml:space="preserve">Les </w:t>
      </w:r>
      <w:r w:rsidRPr="00B01247">
        <w:rPr>
          <w:rFonts w:ascii="Didot" w:eastAsia="Times New Roman" w:hAnsi="Didot" w:cs="Didot" w:hint="cs"/>
          <w:b/>
          <w:bCs/>
          <w:lang w:eastAsia="fr-FR"/>
        </w:rPr>
        <w:t>compétences du Parlement européen</w:t>
      </w:r>
      <w:r w:rsidRPr="00B01247">
        <w:rPr>
          <w:rFonts w:ascii="Didot" w:eastAsia="Times New Roman" w:hAnsi="Didot" w:cs="Didot" w:hint="cs"/>
          <w:lang w:eastAsia="fr-FR"/>
        </w:rPr>
        <w:t xml:space="preserve"> sont élargies. D’une part, l’avis conforme du Parlement européen est nécessaire avant l’adoption des accords d’élargissement de la Communauté et des accords d’association avec les pays tiers. D’autre part, la nouvelle procédure dite de “coopération” (aujourd’hui abandonnée) confère un pouvoir accru au Parlement tout en renforçant le rôle d’arbitre de la Commission européenne et en maintenant le pouvoir de décision final au Conseil de l’UE. </w:t>
      </w:r>
      <w:r w:rsidRPr="00B01247">
        <w:rPr>
          <w:rFonts w:ascii="Didot" w:eastAsia="Times New Roman" w:hAnsi="Didot" w:cs="Didot" w:hint="cs"/>
          <w:b/>
          <w:bCs/>
          <w:lang w:eastAsia="fr-FR"/>
        </w:rPr>
        <w:t>Elle concerne le marché intérieur, la politique sociale, la cohésion économique et sociale, la recherche et le développement technologique.</w:t>
      </w:r>
    </w:p>
    <w:p w14:paraId="7751EF0F" w14:textId="1A96381C" w:rsidR="00B01247" w:rsidRPr="00B01247" w:rsidRDefault="00B01247" w:rsidP="00F232D4">
      <w:pPr>
        <w:spacing w:before="100" w:beforeAutospacing="1" w:after="100" w:afterAutospacing="1" w:line="276" w:lineRule="auto"/>
        <w:jc w:val="both"/>
        <w:rPr>
          <w:rFonts w:ascii="Didot" w:eastAsia="Times New Roman" w:hAnsi="Didot" w:cs="Didot" w:hint="cs"/>
          <w:lang w:eastAsia="fr-FR"/>
        </w:rPr>
      </w:pPr>
      <w:r w:rsidRPr="00B01247">
        <w:rPr>
          <w:rFonts w:ascii="Didot" w:eastAsia="Times New Roman" w:hAnsi="Didot" w:cs="Didot" w:hint="cs"/>
          <w:lang w:eastAsia="fr-FR"/>
        </w:rPr>
        <w:t xml:space="preserve">L’Acte unique consacre l’existence du </w:t>
      </w:r>
      <w:r w:rsidRPr="00B01247">
        <w:rPr>
          <w:rFonts w:ascii="Didot" w:eastAsia="Times New Roman" w:hAnsi="Didot" w:cs="Didot" w:hint="cs"/>
          <w:b/>
          <w:bCs/>
          <w:lang w:eastAsia="fr-FR"/>
        </w:rPr>
        <w:t>Conseil européen</w:t>
      </w:r>
      <w:r w:rsidRPr="00B01247">
        <w:rPr>
          <w:rFonts w:ascii="Didot" w:eastAsia="Times New Roman" w:hAnsi="Didot" w:cs="Didot" w:hint="cs"/>
          <w:lang w:eastAsia="fr-FR"/>
        </w:rPr>
        <w:t>. Organe</w:t>
      </w:r>
      <w:r w:rsidR="00F232D4">
        <w:rPr>
          <w:rFonts w:ascii="Didot" w:eastAsia="Times New Roman" w:hAnsi="Didot" w:cs="Didot"/>
          <w:lang w:eastAsia="fr-FR"/>
        </w:rPr>
        <w:t xml:space="preserve"> </w:t>
      </w:r>
      <w:r w:rsidRPr="00B01247">
        <w:rPr>
          <w:rFonts w:ascii="Didot" w:eastAsia="Times New Roman" w:hAnsi="Didot" w:cs="Didot" w:hint="cs"/>
          <w:lang w:eastAsia="fr-FR"/>
        </w:rPr>
        <w:t>intergouvernemental, il réunit tous les chefs d’</w:t>
      </w:r>
      <w:proofErr w:type="spellStart"/>
      <w:r w:rsidRPr="00B01247">
        <w:rPr>
          <w:rFonts w:ascii="Didot" w:eastAsia="Times New Roman" w:hAnsi="Didot" w:cs="Didot" w:hint="cs"/>
          <w:lang w:eastAsia="fr-FR"/>
        </w:rPr>
        <w:t>Etat</w:t>
      </w:r>
      <w:proofErr w:type="spellEnd"/>
      <w:r w:rsidRPr="00B01247">
        <w:rPr>
          <w:rFonts w:ascii="Didot" w:eastAsia="Times New Roman" w:hAnsi="Didot" w:cs="Didot" w:hint="cs"/>
          <w:lang w:eastAsia="fr-FR"/>
        </w:rPr>
        <w:t xml:space="preserve"> ou de gouvernement des </w:t>
      </w:r>
      <w:proofErr w:type="spellStart"/>
      <w:r w:rsidRPr="00B01247">
        <w:rPr>
          <w:rFonts w:ascii="Didot" w:eastAsia="Times New Roman" w:hAnsi="Didot" w:cs="Didot" w:hint="cs"/>
          <w:lang w:eastAsia="fr-FR"/>
        </w:rPr>
        <w:t>Etats</w:t>
      </w:r>
      <w:proofErr w:type="spellEnd"/>
      <w:r w:rsidRPr="00B01247">
        <w:rPr>
          <w:rFonts w:ascii="Didot" w:eastAsia="Times New Roman" w:hAnsi="Didot" w:cs="Didot" w:hint="cs"/>
          <w:lang w:eastAsia="fr-FR"/>
        </w:rPr>
        <w:t xml:space="preserve"> membres et le président de la Commission européenne.</w:t>
      </w:r>
    </w:p>
    <w:p w14:paraId="1D4D1ABF" w14:textId="77777777" w:rsidR="00B01247" w:rsidRPr="00B01247" w:rsidRDefault="00B01247" w:rsidP="00B50475">
      <w:pPr>
        <w:spacing w:before="100" w:beforeAutospacing="1" w:after="100" w:afterAutospacing="1" w:line="276" w:lineRule="auto"/>
        <w:rPr>
          <w:rFonts w:ascii="Didot" w:eastAsia="Times New Roman" w:hAnsi="Didot" w:cs="Didot" w:hint="cs"/>
          <w:lang w:eastAsia="fr-FR"/>
        </w:rPr>
      </w:pPr>
      <w:r w:rsidRPr="00B01247">
        <w:rPr>
          <w:rFonts w:ascii="Didot" w:eastAsia="Times New Roman" w:hAnsi="Didot" w:cs="Didot" w:hint="cs"/>
          <w:lang w:eastAsia="fr-FR"/>
        </w:rPr>
        <w:t xml:space="preserve">Un </w:t>
      </w:r>
      <w:hyperlink r:id="rId5" w:history="1">
        <w:r w:rsidRPr="00B01247">
          <w:rPr>
            <w:rFonts w:ascii="Didot" w:eastAsia="Times New Roman" w:hAnsi="Didot" w:cs="Didot" w:hint="cs"/>
            <w:b/>
            <w:bCs/>
            <w:color w:val="0000FF"/>
            <w:u w:val="single"/>
            <w:lang w:eastAsia="fr-FR"/>
          </w:rPr>
          <w:t>Tribunal de première instance</w:t>
        </w:r>
      </w:hyperlink>
      <w:r w:rsidRPr="00B01247">
        <w:rPr>
          <w:rFonts w:ascii="Didot" w:eastAsia="Times New Roman" w:hAnsi="Didot" w:cs="Didot" w:hint="cs"/>
          <w:lang w:eastAsia="fr-FR"/>
        </w:rPr>
        <w:t xml:space="preserve"> vient assister la Cour de justice des Communautés européennes. Il est compétent en première instance pour :</w:t>
      </w:r>
    </w:p>
    <w:p w14:paraId="3207D473" w14:textId="77777777" w:rsidR="00B01247" w:rsidRPr="00B01247" w:rsidRDefault="00B01247" w:rsidP="00B50475">
      <w:pPr>
        <w:numPr>
          <w:ilvl w:val="0"/>
          <w:numId w:val="2"/>
        </w:numPr>
        <w:spacing w:before="100" w:beforeAutospacing="1" w:after="100" w:afterAutospacing="1" w:line="276" w:lineRule="auto"/>
        <w:rPr>
          <w:rFonts w:ascii="Didot" w:eastAsia="Times New Roman" w:hAnsi="Didot" w:cs="Didot" w:hint="cs"/>
          <w:lang w:eastAsia="fr-FR"/>
        </w:rPr>
      </w:pPr>
      <w:proofErr w:type="gramStart"/>
      <w:r w:rsidRPr="00B01247">
        <w:rPr>
          <w:rFonts w:ascii="Didot" w:eastAsia="Times New Roman" w:hAnsi="Didot" w:cs="Didot" w:hint="cs"/>
          <w:lang w:eastAsia="fr-FR"/>
        </w:rPr>
        <w:t>les</w:t>
      </w:r>
      <w:proofErr w:type="gramEnd"/>
      <w:r w:rsidRPr="00B01247">
        <w:rPr>
          <w:rFonts w:ascii="Didot" w:eastAsia="Times New Roman" w:hAnsi="Didot" w:cs="Didot" w:hint="cs"/>
          <w:lang w:eastAsia="fr-FR"/>
        </w:rPr>
        <w:t xml:space="preserve"> recours en annulation, carence ou réparation déposés par les personnes physiques ou morales :</w:t>
      </w:r>
    </w:p>
    <w:p w14:paraId="716E090E" w14:textId="77777777" w:rsidR="00B01247" w:rsidRPr="00B01247" w:rsidRDefault="00B01247" w:rsidP="00B50475">
      <w:pPr>
        <w:numPr>
          <w:ilvl w:val="0"/>
          <w:numId w:val="2"/>
        </w:numPr>
        <w:spacing w:before="100" w:beforeAutospacing="1" w:after="100" w:afterAutospacing="1" w:line="276" w:lineRule="auto"/>
        <w:rPr>
          <w:rFonts w:ascii="Didot" w:eastAsia="Times New Roman" w:hAnsi="Didot" w:cs="Didot" w:hint="cs"/>
          <w:lang w:eastAsia="fr-FR"/>
        </w:rPr>
      </w:pPr>
      <w:proofErr w:type="gramStart"/>
      <w:r w:rsidRPr="00B01247">
        <w:rPr>
          <w:rFonts w:ascii="Didot" w:eastAsia="Times New Roman" w:hAnsi="Didot" w:cs="Didot" w:hint="cs"/>
          <w:lang w:eastAsia="fr-FR"/>
        </w:rPr>
        <w:t>les</w:t>
      </w:r>
      <w:proofErr w:type="gramEnd"/>
      <w:r w:rsidRPr="00B01247">
        <w:rPr>
          <w:rFonts w:ascii="Didot" w:eastAsia="Times New Roman" w:hAnsi="Didot" w:cs="Didot" w:hint="cs"/>
          <w:lang w:eastAsia="fr-FR"/>
        </w:rPr>
        <w:t xml:space="preserve"> recours contre la Commission européenne déposés par les entreprises ;</w:t>
      </w:r>
    </w:p>
    <w:p w14:paraId="255E50A7" w14:textId="77777777" w:rsidR="00B01247" w:rsidRPr="00B01247" w:rsidRDefault="00B01247" w:rsidP="00B50475">
      <w:pPr>
        <w:numPr>
          <w:ilvl w:val="0"/>
          <w:numId w:val="2"/>
        </w:numPr>
        <w:spacing w:before="100" w:beforeAutospacing="1" w:after="100" w:afterAutospacing="1" w:line="276" w:lineRule="auto"/>
        <w:rPr>
          <w:rFonts w:ascii="Didot" w:eastAsia="Times New Roman" w:hAnsi="Didot" w:cs="Didot" w:hint="cs"/>
          <w:lang w:eastAsia="fr-FR"/>
        </w:rPr>
      </w:pPr>
      <w:proofErr w:type="gramStart"/>
      <w:r w:rsidRPr="00B01247">
        <w:rPr>
          <w:rFonts w:ascii="Didot" w:eastAsia="Times New Roman" w:hAnsi="Didot" w:cs="Didot" w:hint="cs"/>
          <w:lang w:eastAsia="fr-FR"/>
        </w:rPr>
        <w:t>les</w:t>
      </w:r>
      <w:proofErr w:type="gramEnd"/>
      <w:r w:rsidRPr="00B01247">
        <w:rPr>
          <w:rFonts w:ascii="Didot" w:eastAsia="Times New Roman" w:hAnsi="Didot" w:cs="Didot" w:hint="cs"/>
          <w:lang w:eastAsia="fr-FR"/>
        </w:rPr>
        <w:t xml:space="preserve"> litiges entre l’Union européenne et ses fonctionnaires et agents.</w:t>
      </w:r>
    </w:p>
    <w:p w14:paraId="2E48E62B" w14:textId="77777777" w:rsidR="00B01247" w:rsidRPr="00B01247" w:rsidRDefault="00B01247" w:rsidP="00F232D4">
      <w:pPr>
        <w:spacing w:before="100" w:beforeAutospacing="1" w:after="100" w:afterAutospacing="1" w:line="276" w:lineRule="auto"/>
        <w:jc w:val="both"/>
        <w:rPr>
          <w:rFonts w:ascii="Didot" w:eastAsia="Times New Roman" w:hAnsi="Didot" w:cs="Didot" w:hint="cs"/>
          <w:lang w:eastAsia="fr-FR"/>
        </w:rPr>
      </w:pPr>
      <w:r w:rsidRPr="00B01247">
        <w:rPr>
          <w:rFonts w:ascii="Didot" w:eastAsia="Times New Roman" w:hAnsi="Didot" w:cs="Didot" w:hint="cs"/>
          <w:lang w:eastAsia="fr-FR"/>
        </w:rPr>
        <w:t xml:space="preserve">Enfin, les </w:t>
      </w:r>
      <w:proofErr w:type="spellStart"/>
      <w:r w:rsidRPr="00B01247">
        <w:rPr>
          <w:rFonts w:ascii="Didot" w:eastAsia="Times New Roman" w:hAnsi="Didot" w:cs="Didot" w:hint="cs"/>
          <w:lang w:eastAsia="fr-FR"/>
        </w:rPr>
        <w:t>Etats</w:t>
      </w:r>
      <w:proofErr w:type="spellEnd"/>
      <w:r w:rsidRPr="00B01247">
        <w:rPr>
          <w:rFonts w:ascii="Didot" w:eastAsia="Times New Roman" w:hAnsi="Didot" w:cs="Didot" w:hint="cs"/>
          <w:lang w:eastAsia="fr-FR"/>
        </w:rPr>
        <w:t xml:space="preserve"> membres s’engagent à poursuivre une </w:t>
      </w:r>
      <w:r w:rsidRPr="00B01247">
        <w:rPr>
          <w:rFonts w:ascii="Didot" w:eastAsia="Times New Roman" w:hAnsi="Didot" w:cs="Didot" w:hint="cs"/>
          <w:b/>
          <w:bCs/>
          <w:lang w:eastAsia="fr-FR"/>
        </w:rPr>
        <w:t>politique étrangère commune</w:t>
      </w:r>
      <w:r w:rsidRPr="00B01247">
        <w:rPr>
          <w:rFonts w:ascii="Didot" w:eastAsia="Times New Roman" w:hAnsi="Didot" w:cs="Didot" w:hint="cs"/>
          <w:lang w:eastAsia="fr-FR"/>
        </w:rPr>
        <w:t xml:space="preserve"> : chaque </w:t>
      </w:r>
      <w:proofErr w:type="spellStart"/>
      <w:r w:rsidRPr="00B01247">
        <w:rPr>
          <w:rFonts w:ascii="Didot" w:eastAsia="Times New Roman" w:hAnsi="Didot" w:cs="Didot" w:hint="cs"/>
          <w:lang w:eastAsia="fr-FR"/>
        </w:rPr>
        <w:t>Etat</w:t>
      </w:r>
      <w:proofErr w:type="spellEnd"/>
      <w:r w:rsidRPr="00B01247">
        <w:rPr>
          <w:rFonts w:ascii="Didot" w:eastAsia="Times New Roman" w:hAnsi="Didot" w:cs="Didot" w:hint="cs"/>
          <w:lang w:eastAsia="fr-FR"/>
        </w:rPr>
        <w:t xml:space="preserve"> doit prendre en compte les positions de ses partenaires ainsi que l’intérêt européen commun avant d’arrêter sa propre politique. Une politique commune doit émerger progressivement par la définition de principes et d’objectifs.</w:t>
      </w:r>
    </w:p>
    <w:p w14:paraId="3DB2CEBF" w14:textId="77777777" w:rsidR="00B01247" w:rsidRPr="00B01247" w:rsidRDefault="00B01247" w:rsidP="00B50475">
      <w:pPr>
        <w:spacing w:before="100" w:beforeAutospacing="1" w:after="100" w:afterAutospacing="1" w:line="276" w:lineRule="auto"/>
        <w:rPr>
          <w:rFonts w:ascii="Didot" w:eastAsia="Times New Roman" w:hAnsi="Didot" w:cs="Didot" w:hint="cs"/>
          <w:lang w:eastAsia="fr-FR"/>
        </w:rPr>
      </w:pPr>
      <w:r w:rsidRPr="00B01247">
        <w:rPr>
          <w:rFonts w:ascii="Didot" w:eastAsia="Times New Roman" w:hAnsi="Didot" w:cs="Didot" w:hint="cs"/>
          <w:lang w:eastAsia="fr-FR"/>
        </w:rPr>
        <w:t xml:space="preserve">Il est envisagé d’étendre ensuite la coopération entre </w:t>
      </w:r>
      <w:proofErr w:type="spellStart"/>
      <w:r w:rsidRPr="00B01247">
        <w:rPr>
          <w:rFonts w:ascii="Didot" w:eastAsia="Times New Roman" w:hAnsi="Didot" w:cs="Didot" w:hint="cs"/>
          <w:lang w:eastAsia="fr-FR"/>
        </w:rPr>
        <w:t>Etats</w:t>
      </w:r>
      <w:proofErr w:type="spellEnd"/>
      <w:r w:rsidRPr="00B01247">
        <w:rPr>
          <w:rFonts w:ascii="Didot" w:eastAsia="Times New Roman" w:hAnsi="Didot" w:cs="Didot" w:hint="cs"/>
          <w:lang w:eastAsia="fr-FR"/>
        </w:rPr>
        <w:t xml:space="preserve"> membres </w:t>
      </w:r>
      <w:r w:rsidRPr="00B01247">
        <w:rPr>
          <w:rFonts w:ascii="Didot" w:eastAsia="Times New Roman" w:hAnsi="Didot" w:cs="Didot" w:hint="cs"/>
          <w:b/>
          <w:bCs/>
          <w:lang w:eastAsia="fr-FR"/>
        </w:rPr>
        <w:t>au domaine de la sécurité</w:t>
      </w:r>
      <w:r w:rsidRPr="00B01247">
        <w:rPr>
          <w:rFonts w:ascii="Didot" w:eastAsia="Times New Roman" w:hAnsi="Didot" w:cs="Didot" w:hint="cs"/>
          <w:lang w:eastAsia="fr-FR"/>
        </w:rPr>
        <w:t>, notamment dans ses aspects politiques, économiques et technologiques, sans qu’il soit porté atteinte à l’Union de l’Europe occidentale (UEO) ou à l’Alliance atlantique (OTAN).</w:t>
      </w:r>
    </w:p>
    <w:p w14:paraId="0FB24809" w14:textId="77777777" w:rsidR="00B01247" w:rsidRPr="00B01247" w:rsidRDefault="00B01247" w:rsidP="00B50475">
      <w:pPr>
        <w:spacing w:before="100" w:beforeAutospacing="1" w:after="100" w:afterAutospacing="1" w:line="276" w:lineRule="auto"/>
        <w:rPr>
          <w:rFonts w:ascii="Didot" w:eastAsia="Times New Roman" w:hAnsi="Didot" w:cs="Didot" w:hint="cs"/>
          <w:lang w:eastAsia="fr-FR"/>
        </w:rPr>
      </w:pPr>
      <w:r w:rsidRPr="00B01247">
        <w:rPr>
          <w:rFonts w:ascii="Didot" w:eastAsia="Times New Roman" w:hAnsi="Didot" w:cs="Didot" w:hint="cs"/>
          <w:lang w:eastAsia="fr-FR"/>
        </w:rPr>
        <w:t>La coopération politique est présidée par l’</w:t>
      </w:r>
      <w:proofErr w:type="spellStart"/>
      <w:r w:rsidRPr="00B01247">
        <w:rPr>
          <w:rFonts w:ascii="Didot" w:eastAsia="Times New Roman" w:hAnsi="Didot" w:cs="Didot" w:hint="cs"/>
          <w:lang w:eastAsia="fr-FR"/>
        </w:rPr>
        <w:t>Etat</w:t>
      </w:r>
      <w:proofErr w:type="spellEnd"/>
      <w:r w:rsidRPr="00B01247">
        <w:rPr>
          <w:rFonts w:ascii="Didot" w:eastAsia="Times New Roman" w:hAnsi="Didot" w:cs="Didot" w:hint="cs"/>
          <w:lang w:eastAsia="fr-FR"/>
        </w:rPr>
        <w:t xml:space="preserve"> qui exerce la présidence de l’Union européenne. Celle-ci veille, avec la Commission européenne, à la cohérence de la politique extérieure. Elle prend des initiatives de coordination et représente l’ensemble des </w:t>
      </w:r>
      <w:proofErr w:type="spellStart"/>
      <w:r w:rsidRPr="00B01247">
        <w:rPr>
          <w:rFonts w:ascii="Didot" w:eastAsia="Times New Roman" w:hAnsi="Didot" w:cs="Didot" w:hint="cs"/>
          <w:lang w:eastAsia="fr-FR"/>
        </w:rPr>
        <w:t>Etats</w:t>
      </w:r>
      <w:proofErr w:type="spellEnd"/>
      <w:r w:rsidRPr="00B01247">
        <w:rPr>
          <w:rFonts w:ascii="Didot" w:eastAsia="Times New Roman" w:hAnsi="Didot" w:cs="Didot" w:hint="cs"/>
          <w:lang w:eastAsia="fr-FR"/>
        </w:rPr>
        <w:t xml:space="preserve"> membres.</w:t>
      </w:r>
    </w:p>
    <w:p w14:paraId="6DDC9BD6" w14:textId="77777777" w:rsidR="00B01247" w:rsidRPr="00B01247" w:rsidRDefault="00B01247" w:rsidP="00B50475">
      <w:pPr>
        <w:spacing w:line="276" w:lineRule="auto"/>
        <w:rPr>
          <w:rFonts w:ascii="Didot" w:hAnsi="Didot" w:cs="Didot" w:hint="cs"/>
        </w:rPr>
      </w:pPr>
    </w:p>
    <w:sectPr w:rsidR="00B01247" w:rsidRPr="00B012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idot">
    <w:altName w:val="﷽﷽﷽﷽﷽﷽⃹Ā탰쒸"/>
    <w:panose1 w:val="02000503000000020003"/>
    <w:charset w:val="B1"/>
    <w:family w:val="auto"/>
    <w:pitch w:val="variable"/>
    <w:sig w:usb0="80000867" w:usb1="00000000" w:usb2="00000000" w:usb3="00000000" w:csb0="000001FB"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D07A73"/>
    <w:multiLevelType w:val="hybridMultilevel"/>
    <w:tmpl w:val="B8E23E48"/>
    <w:lvl w:ilvl="0" w:tplc="040C0005">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644"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B97431D"/>
    <w:multiLevelType w:val="multilevel"/>
    <w:tmpl w:val="ED5C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3361F4"/>
    <w:multiLevelType w:val="multilevel"/>
    <w:tmpl w:val="573C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594790"/>
    <w:multiLevelType w:val="hybridMultilevel"/>
    <w:tmpl w:val="408EF8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5445991"/>
    <w:multiLevelType w:val="hybridMultilevel"/>
    <w:tmpl w:val="4C0A8468"/>
    <w:lvl w:ilvl="0" w:tplc="4A9EFFDC">
      <w:start w:val="1"/>
      <w:numFmt w:val="decimal"/>
      <w:lvlText w:val="%1."/>
      <w:lvlJc w:val="left"/>
      <w:pPr>
        <w:ind w:left="720" w:hanging="360"/>
      </w:pPr>
      <w:rPr>
        <w:rFonts w:hint="default"/>
        <w:b w:val="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716860A1"/>
    <w:multiLevelType w:val="hybridMultilevel"/>
    <w:tmpl w:val="DCC04CE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247"/>
    <w:rsid w:val="0001511C"/>
    <w:rsid w:val="00B01247"/>
    <w:rsid w:val="00B50475"/>
    <w:rsid w:val="00F232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CF800E8"/>
  <w15:chartTrackingRefBased/>
  <w15:docId w15:val="{2D1E31F6-1A4F-9744-8437-E088DE5B4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B01247"/>
    <w:pPr>
      <w:spacing w:before="100" w:beforeAutospacing="1" w:after="100" w:afterAutospacing="1"/>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B01247"/>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B01247"/>
    <w:pPr>
      <w:spacing w:before="100" w:beforeAutospacing="1" w:after="100" w:afterAutospacing="1"/>
    </w:pPr>
    <w:rPr>
      <w:rFonts w:ascii="Times New Roman" w:eastAsia="Times New Roman" w:hAnsi="Times New Roman" w:cs="Times New Roman"/>
      <w:lang w:eastAsia="fr-FR"/>
    </w:rPr>
  </w:style>
  <w:style w:type="character" w:styleId="Lienhypertexte">
    <w:name w:val="Hyperlink"/>
    <w:basedOn w:val="Policepardfaut"/>
    <w:uiPriority w:val="99"/>
    <w:semiHidden/>
    <w:unhideWhenUsed/>
    <w:rsid w:val="00B01247"/>
    <w:rPr>
      <w:color w:val="0000FF"/>
      <w:u w:val="single"/>
    </w:rPr>
  </w:style>
  <w:style w:type="character" w:styleId="Accentuation">
    <w:name w:val="Emphasis"/>
    <w:basedOn w:val="Policepardfaut"/>
    <w:uiPriority w:val="20"/>
    <w:qFormat/>
    <w:rsid w:val="00B01247"/>
    <w:rPr>
      <w:i/>
      <w:iCs/>
    </w:rPr>
  </w:style>
  <w:style w:type="character" w:styleId="lev">
    <w:name w:val="Strong"/>
    <w:basedOn w:val="Policepardfaut"/>
    <w:uiPriority w:val="22"/>
    <w:qFormat/>
    <w:rsid w:val="00B01247"/>
    <w:rPr>
      <w:b/>
      <w:bCs/>
    </w:rPr>
  </w:style>
  <w:style w:type="paragraph" w:styleId="Paragraphedeliste">
    <w:name w:val="List Paragraph"/>
    <w:basedOn w:val="Normal"/>
    <w:uiPriority w:val="34"/>
    <w:qFormat/>
    <w:rsid w:val="00B01247"/>
    <w:pPr>
      <w:ind w:left="720"/>
      <w:contextualSpacing/>
    </w:pPr>
  </w:style>
  <w:style w:type="table" w:styleId="Grilledutableau">
    <w:name w:val="Table Grid"/>
    <w:basedOn w:val="TableauNormal"/>
    <w:uiPriority w:val="39"/>
    <w:rsid w:val="00B012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1"/>
    <w:qFormat/>
    <w:rsid w:val="00B504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9098171">
      <w:bodyDiv w:val="1"/>
      <w:marLeft w:val="0"/>
      <w:marRight w:val="0"/>
      <w:marTop w:val="0"/>
      <w:marBottom w:val="0"/>
      <w:divBdr>
        <w:top w:val="none" w:sz="0" w:space="0" w:color="auto"/>
        <w:left w:val="none" w:sz="0" w:space="0" w:color="auto"/>
        <w:bottom w:val="none" w:sz="0" w:space="0" w:color="auto"/>
        <w:right w:val="none" w:sz="0" w:space="0" w:color="auto"/>
      </w:divBdr>
      <w:divsChild>
        <w:div w:id="92366809">
          <w:marLeft w:val="0"/>
          <w:marRight w:val="0"/>
          <w:marTop w:val="0"/>
          <w:marBottom w:val="0"/>
          <w:divBdr>
            <w:top w:val="none" w:sz="0" w:space="0" w:color="auto"/>
            <w:left w:val="none" w:sz="0" w:space="0" w:color="auto"/>
            <w:bottom w:val="none" w:sz="0" w:space="0" w:color="auto"/>
            <w:right w:val="none" w:sz="0" w:space="0" w:color="auto"/>
          </w:divBdr>
        </w:div>
      </w:divsChild>
    </w:div>
    <w:div w:id="401297968">
      <w:bodyDiv w:val="1"/>
      <w:marLeft w:val="0"/>
      <w:marRight w:val="0"/>
      <w:marTop w:val="0"/>
      <w:marBottom w:val="0"/>
      <w:divBdr>
        <w:top w:val="none" w:sz="0" w:space="0" w:color="auto"/>
        <w:left w:val="none" w:sz="0" w:space="0" w:color="auto"/>
        <w:bottom w:val="none" w:sz="0" w:space="0" w:color="auto"/>
        <w:right w:val="none" w:sz="0" w:space="0" w:color="auto"/>
      </w:divBdr>
      <w:divsChild>
        <w:div w:id="358093886">
          <w:marLeft w:val="0"/>
          <w:marRight w:val="0"/>
          <w:marTop w:val="0"/>
          <w:marBottom w:val="0"/>
          <w:divBdr>
            <w:top w:val="none" w:sz="0" w:space="0" w:color="auto"/>
            <w:left w:val="none" w:sz="0" w:space="0" w:color="auto"/>
            <w:bottom w:val="none" w:sz="0" w:space="0" w:color="auto"/>
            <w:right w:val="none" w:sz="0" w:space="0" w:color="auto"/>
          </w:divBdr>
        </w:div>
      </w:divsChild>
    </w:div>
    <w:div w:id="871966111">
      <w:bodyDiv w:val="1"/>
      <w:marLeft w:val="0"/>
      <w:marRight w:val="0"/>
      <w:marTop w:val="0"/>
      <w:marBottom w:val="0"/>
      <w:divBdr>
        <w:top w:val="none" w:sz="0" w:space="0" w:color="auto"/>
        <w:left w:val="none" w:sz="0" w:space="0" w:color="auto"/>
        <w:bottom w:val="none" w:sz="0" w:space="0" w:color="auto"/>
        <w:right w:val="none" w:sz="0" w:space="0" w:color="auto"/>
      </w:divBdr>
      <w:divsChild>
        <w:div w:id="1422918524">
          <w:marLeft w:val="0"/>
          <w:marRight w:val="0"/>
          <w:marTop w:val="0"/>
          <w:marBottom w:val="0"/>
          <w:divBdr>
            <w:top w:val="none" w:sz="0" w:space="0" w:color="auto"/>
            <w:left w:val="none" w:sz="0" w:space="0" w:color="auto"/>
            <w:bottom w:val="none" w:sz="0" w:space="0" w:color="auto"/>
            <w:right w:val="none" w:sz="0" w:space="0" w:color="auto"/>
          </w:divBdr>
          <w:divsChild>
            <w:div w:id="122895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outeleurope.eu/institutions/le-tribunal-de-premiere-instance-de-l-union-europeenne/"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882</Words>
  <Characters>4634</Characters>
  <Application>Microsoft Office Word</Application>
  <DocSecurity>0</DocSecurity>
  <Lines>79</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MONAMY Shanelle</dc:creator>
  <cp:keywords/>
  <dc:description/>
  <cp:lastModifiedBy>MONAMY Shanelle</cp:lastModifiedBy>
  <cp:revision>2</cp:revision>
  <dcterms:created xsi:type="dcterms:W3CDTF">2021-04-25T14:57:00Z</dcterms:created>
  <dcterms:modified xsi:type="dcterms:W3CDTF">2021-04-25T16:13:00Z</dcterms:modified>
</cp:coreProperties>
</file>