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Couples Franco-Allemand</w:t>
      </w:r>
    </w:p>
    <w:p w:rsidR="00000000" w:rsidDel="00000000" w:rsidP="00000000" w:rsidRDefault="00000000" w:rsidRPr="00000000" w14:paraId="00000002">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b w:val="1"/>
          <w:bCs w:val="1"/>
          <w:color w:val="ff0000"/>
          <w:sz w:val="24"/>
          <w:szCs w:val="24"/>
          <w:rtl w:val="0"/>
        </w:rPr>
        <w:t xml:space="preserve">1958 - 1963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ff9900"/>
          <w:sz w:val="24"/>
          <w:szCs w:val="24"/>
          <w:rtl w:val="0"/>
        </w:rPr>
        <w:t xml:space="preserve">Charles de Gaulle</w:t>
      </w:r>
      <w:r w:rsidDel="00000000" w:rsidR="00000000" w:rsidRPr="00000000">
        <w:rPr>
          <w:rFonts w:ascii="Times New Roman" w:cs="Times New Roman" w:eastAsia="Times New Roman" w:hAnsi="Times New Roman"/>
          <w:sz w:val="24"/>
          <w:szCs w:val="24"/>
          <w:rtl w:val="0"/>
        </w:rPr>
        <w:t xml:space="preserve"> et </w:t>
      </w:r>
      <w:r w:rsidDel="00000000" w:rsidR="00000000" w:rsidRPr="00000000">
        <w:rPr>
          <w:rFonts w:ascii="Times New Roman" w:cs="Times New Roman" w:eastAsia="Times New Roman" w:hAnsi="Times New Roman"/>
          <w:b w:val="1"/>
          <w:bCs w:val="1"/>
          <w:color w:val="ff9900"/>
          <w:sz w:val="24"/>
          <w:szCs w:val="24"/>
          <w:rtl w:val="0"/>
        </w:rPr>
        <w:t xml:space="preserve">Konrad Adenauer</w:t>
      </w:r>
      <w:r w:rsidDel="00000000" w:rsidR="00000000" w:rsidRPr="00000000">
        <w:rPr>
          <w:rFonts w:ascii="Cardo" w:cs="Cardo" w:eastAsia="Cardo" w:hAnsi="Cardo"/>
          <w:sz w:val="24"/>
          <w:szCs w:val="24"/>
          <w:rtl w:val="0"/>
        </w:rPr>
        <w:t xml:space="preserve"> → </w:t>
      </w:r>
      <w:r w:rsidDel="00000000" w:rsidR="00000000" w:rsidRPr="00000000">
        <w:rPr>
          <w:rFonts w:ascii="Times New Roman" w:cs="Times New Roman" w:eastAsia="Times New Roman" w:hAnsi="Times New Roman"/>
          <w:color w:val="212529"/>
          <w:sz w:val="24"/>
          <w:szCs w:val="24"/>
          <w:highlight w:val="white"/>
          <w:rtl w:val="0"/>
        </w:rPr>
        <w:t xml:space="preserve">le président et le chancelier ont joué un rôle incontournable dans la pacification puis le rapprochement rapide de leurs deux nations à partir des années 1950.</w:t>
      </w:r>
    </w:p>
    <w:p w:rsidR="00000000" w:rsidDel="00000000" w:rsidP="00000000" w:rsidRDefault="00000000" w:rsidRPr="00000000" w14:paraId="00000004">
      <w:pPr>
        <w:jc w:val="both"/>
        <w:rPr>
          <w:rFonts w:ascii="Times New Roman" w:cs="Times New Roman" w:eastAsia="Times New Roman" w:hAnsi="Times New Roman"/>
          <w:color w:val="212529"/>
          <w:sz w:val="24"/>
          <w:szCs w:val="24"/>
          <w:highlight w:val="white"/>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Avant l’instauration de la Ve République en 1958 et l’arrivée de Charles de Gaulle à la présidence de la République, Konrad Adenauer, qui est chancelier depuis 1949, collabore étroitement avec d’autres personnalités françaises. D’abord aux côtés de Robert Schuman, avec qui il initie la création de la Communauté européenne du charbon et de l’acier (CECA) en vue d’éviter le déclenchement d’un nouveau conflit armé. Aux côtés de Guy Mollet ensuite, avec qui il signe le traité de Rome le 25 mars 1957, qui réunit la France, l’Allemagne, la Belgique, l’Italie, le Luxembourg et les Pays-Bas.</w:t>
            </w:r>
          </w:p>
        </w:tc>
      </w:tr>
    </w:tbl>
    <w:p w:rsidR="00000000" w:rsidDel="00000000" w:rsidP="00000000" w:rsidRDefault="00000000" w:rsidRPr="00000000" w14:paraId="00000006">
      <w:pPr>
        <w:jc w:val="both"/>
        <w:rPr>
          <w:rFonts w:ascii="Times New Roman" w:cs="Times New Roman" w:eastAsia="Times New Roman" w:hAnsi="Times New Roman"/>
          <w:color w:val="212529"/>
          <w:sz w:val="24"/>
          <w:szCs w:val="24"/>
          <w:highlight w:val="white"/>
        </w:rPr>
      </w:pPr>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b w:val="1"/>
          <w:bCs w:val="1"/>
          <w:color w:val="ff0000"/>
          <w:sz w:val="24"/>
          <w:szCs w:val="24"/>
          <w:rtl w:val="0"/>
        </w:rPr>
        <w:t xml:space="preserve">1969-1974</w:t>
      </w:r>
      <w:r w:rsidDel="00000000" w:rsidR="00000000" w:rsidRPr="00000000">
        <w:rPr>
          <w:rFonts w:ascii="Times New Roman" w:cs="Times New Roman" w:eastAsia="Times New Roman" w:hAnsi="Times New Roman"/>
          <w:color w:val="212529"/>
          <w:sz w:val="24"/>
          <w:szCs w:val="24"/>
          <w:highlight w:val="white"/>
          <w:rtl w:val="0"/>
        </w:rPr>
        <w:t xml:space="preserve"> : </w:t>
      </w:r>
      <w:r w:rsidDel="00000000" w:rsidR="00000000" w:rsidRPr="00000000">
        <w:rPr>
          <w:rFonts w:ascii="Times New Roman" w:cs="Times New Roman" w:eastAsia="Times New Roman" w:hAnsi="Times New Roman"/>
          <w:b w:val="1"/>
          <w:bCs w:val="1"/>
          <w:color w:val="ff9900"/>
          <w:sz w:val="24"/>
          <w:szCs w:val="24"/>
          <w:rtl w:val="0"/>
        </w:rPr>
        <w:t xml:space="preserve">Georges Pompidou</w:t>
      </w:r>
      <w:r w:rsidDel="00000000" w:rsidR="00000000" w:rsidRPr="00000000">
        <w:rPr>
          <w:rFonts w:ascii="Times New Roman" w:cs="Times New Roman" w:eastAsia="Times New Roman" w:hAnsi="Times New Roman"/>
          <w:color w:val="212529"/>
          <w:sz w:val="24"/>
          <w:szCs w:val="24"/>
          <w:highlight w:val="white"/>
          <w:rtl w:val="0"/>
        </w:rPr>
        <w:t xml:space="preserve"> et </w:t>
      </w:r>
      <w:r w:rsidDel="00000000" w:rsidR="00000000" w:rsidRPr="00000000">
        <w:rPr>
          <w:rFonts w:ascii="Times New Roman" w:cs="Times New Roman" w:eastAsia="Times New Roman" w:hAnsi="Times New Roman"/>
          <w:b w:val="1"/>
          <w:bCs w:val="1"/>
          <w:color w:val="ff9900"/>
          <w:sz w:val="24"/>
          <w:szCs w:val="24"/>
          <w:rtl w:val="0"/>
        </w:rPr>
        <w:t xml:space="preserve">Willy Brandt</w:t>
      </w:r>
      <w:r w:rsidDel="00000000" w:rsidR="00000000" w:rsidRPr="00000000">
        <w:rPr>
          <w:rFonts w:ascii="Cardo" w:cs="Cardo" w:eastAsia="Cardo" w:hAnsi="Cardo"/>
          <w:color w:val="212529"/>
          <w:sz w:val="24"/>
          <w:szCs w:val="24"/>
          <w:highlight w:val="white"/>
          <w:rtl w:val="0"/>
        </w:rPr>
        <w:t xml:space="preserve"> - à l’épreuve de la Guerre froide → . Un binôme nettement moins proche que celui que formaient Charles de Gaulle et Konrad Adenauer.</w:t>
      </w:r>
    </w:p>
    <w:p w:rsidR="00000000" w:rsidDel="00000000" w:rsidP="00000000" w:rsidRDefault="00000000" w:rsidRPr="00000000" w14:paraId="00000008">
      <w:pPr>
        <w:jc w:val="both"/>
        <w:rPr>
          <w:rFonts w:ascii="Times New Roman" w:cs="Times New Roman" w:eastAsia="Times New Roman" w:hAnsi="Times New Roman"/>
          <w:color w:val="212529"/>
          <w:sz w:val="24"/>
          <w:szCs w:val="24"/>
          <w:highlight w:val="white"/>
        </w:rPr>
      </w:pP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Ce refroidissement des relations franco-allemandes ne doit pas tant au fait que les deux hommes n’appartiennent pas aux mêmes familles politiques qu’au choix de Willy Brandt de lancer l’Ostpolitik, ou politique de rapprochement de l’Allemagne de l’Ouest vers l’Union soviétique, l’Allemagne de l’Est (RDA) et les autres pays d’Europe de l’Est. En effet, le chancelier social-démocrate, ancien maire de Berlin, n’a de cesse d’atténuer la coupure entre les deux parties de l’Allemagne, particulièrement criante depuis la construction du Mur de Berlin en 1961. Pour ce faire, il profite de l’apaisement de la Guerre froide pour rétablir des relations cordiales avec l’URSS et la RDA. En 1971, les Allemands de l’Ouest sont ainsi de nouveau autorisés à se rendre librement à Berlin-Est.</w:t>
      </w:r>
    </w:p>
    <w:p w:rsidR="00000000" w:rsidDel="00000000" w:rsidP="00000000" w:rsidRDefault="00000000" w:rsidRPr="00000000" w14:paraId="0000000A">
      <w:pPr>
        <w:jc w:val="both"/>
        <w:rPr>
          <w:rFonts w:ascii="Times New Roman" w:cs="Times New Roman" w:eastAsia="Times New Roman" w:hAnsi="Times New Roman"/>
          <w:color w:val="212529"/>
          <w:sz w:val="24"/>
          <w:szCs w:val="24"/>
          <w:highlight w:val="white"/>
        </w:rPr>
      </w:pP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Mais cette stratégie éloigne l’Allemagne à la fois de la France et de la ligne atlantique. Cette période correspond d’ailleurs au rapprochement entre la France et le Royaume-Uni. C’est en effet sous l’égide de Georges Pompidou et de son homologue britannique Edward Heath que les Britanniques intègrent la CEE en 1973.</w:t>
      </w:r>
    </w:p>
    <w:p w:rsidR="00000000" w:rsidDel="00000000" w:rsidP="00000000" w:rsidRDefault="00000000" w:rsidRPr="00000000" w14:paraId="0000000C">
      <w:pPr>
        <w:rPr>
          <w:rFonts w:ascii="Times New Roman" w:cs="Times New Roman" w:eastAsia="Times New Roman" w:hAnsi="Times New Roman"/>
          <w:color w:val="212529"/>
          <w:sz w:val="24"/>
          <w:szCs w:val="24"/>
          <w:highlight w:val="white"/>
        </w:rPr>
      </w:pP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1974-1981</w:t>
      </w:r>
      <w:r w:rsidDel="00000000" w:rsidR="00000000" w:rsidRPr="00000000">
        <w:rPr>
          <w:rFonts w:ascii="Times New Roman" w:cs="Times New Roman" w:eastAsia="Times New Roman" w:hAnsi="Times New Roman"/>
          <w:color w:val="212529"/>
          <w:sz w:val="24"/>
          <w:szCs w:val="24"/>
          <w:highlight w:val="white"/>
          <w:rtl w:val="0"/>
        </w:rPr>
        <w:t xml:space="preserve"> : </w:t>
      </w:r>
      <w:r w:rsidDel="00000000" w:rsidR="00000000" w:rsidRPr="00000000">
        <w:rPr>
          <w:rFonts w:ascii="Times New Roman" w:cs="Times New Roman" w:eastAsia="Times New Roman" w:hAnsi="Times New Roman"/>
          <w:b w:val="1"/>
          <w:bCs w:val="1"/>
          <w:color w:val="ff9900"/>
          <w:sz w:val="24"/>
          <w:szCs w:val="24"/>
          <w:rtl w:val="0"/>
        </w:rPr>
        <w:t xml:space="preserve">Valéry Giscard d’Estaing</w:t>
      </w:r>
      <w:r w:rsidDel="00000000" w:rsidR="00000000" w:rsidRPr="00000000">
        <w:rPr>
          <w:rFonts w:ascii="Times New Roman" w:cs="Times New Roman" w:eastAsia="Times New Roman" w:hAnsi="Times New Roman"/>
          <w:sz w:val="24"/>
          <w:szCs w:val="24"/>
          <w:rtl w:val="0"/>
        </w:rPr>
        <w:t xml:space="preserve"> et </w:t>
      </w:r>
      <w:r w:rsidDel="00000000" w:rsidR="00000000" w:rsidRPr="00000000">
        <w:rPr>
          <w:rFonts w:ascii="Times New Roman" w:cs="Times New Roman" w:eastAsia="Times New Roman" w:hAnsi="Times New Roman"/>
          <w:b w:val="1"/>
          <w:bCs w:val="1"/>
          <w:color w:val="ff9900"/>
          <w:sz w:val="24"/>
          <w:szCs w:val="24"/>
          <w:rtl w:val="0"/>
        </w:rPr>
        <w:t xml:space="preserve">Helmut Schmidt</w:t>
      </w:r>
      <w:r w:rsidDel="00000000" w:rsidR="00000000" w:rsidRPr="00000000">
        <w:rPr>
          <w:rFonts w:ascii="Cardo" w:cs="Cardo" w:eastAsia="Cardo" w:hAnsi="Cardo"/>
          <w:sz w:val="24"/>
          <w:szCs w:val="24"/>
          <w:rtl w:val="0"/>
        </w:rPr>
        <w:t xml:space="preserve"> - la grande compréhension → Après cette accession simultanée au pouvoir, les deux hommes agissent en totale concertation. “</w:t>
      </w:r>
      <w:r w:rsidDel="00000000" w:rsidR="00000000" w:rsidRPr="00000000">
        <w:rPr>
          <w:rFonts w:ascii="Times New Roman" w:cs="Times New Roman" w:eastAsia="Times New Roman" w:hAnsi="Times New Roman"/>
          <w:i w:val="1"/>
          <w:iCs w:val="1"/>
          <w:sz w:val="24"/>
          <w:szCs w:val="24"/>
          <w:rtl w:val="0"/>
        </w:rPr>
        <w:t xml:space="preserve">Jamais rien sans la France</w:t>
      </w:r>
      <w:r w:rsidDel="00000000" w:rsidR="00000000" w:rsidRPr="00000000">
        <w:rPr>
          <w:rFonts w:ascii="Times New Roman" w:cs="Times New Roman" w:eastAsia="Times New Roman" w:hAnsi="Times New Roman"/>
          <w:sz w:val="24"/>
          <w:szCs w:val="24"/>
          <w:rtl w:val="0"/>
        </w:rPr>
        <w:t xml:space="preserve">”, dira Helmut Schmidt. Au cœur de leur collaboration, l’approfondissement de la construction européenne. En 1975 est ainsi créé le Fonds européen de développement régional (FEDER), qui doit permettre l’intensification de la solidarité entre les pays européens et favoriser l’intégration de nouveaux Etats membres, comme la Grèce en 1981. En 1978, les deux dirigeants lancent le projet de Système monétaire européen. Ce dernier remplace à partir de 1979 le Serpent monétaire européen afin de renforcer un peu plus la stabilité des monnaies européennes, mise à mal à l’époque. La même année, le </w:t>
      </w:r>
      <w:r w:rsidDel="00000000" w:rsidR="00000000" w:rsidRPr="00000000">
        <w:rPr>
          <w:rFonts w:ascii="Times New Roman" w:cs="Times New Roman" w:eastAsia="Times New Roman" w:hAnsi="Times New Roman"/>
          <w:sz w:val="24"/>
          <w:szCs w:val="24"/>
          <w:u w:val="single"/>
          <w:rtl w:val="0"/>
        </w:rPr>
        <w:t xml:space="preserve">Parlement européen</w:t>
      </w:r>
      <w:r w:rsidDel="00000000" w:rsidR="00000000" w:rsidRPr="00000000">
        <w:rPr>
          <w:rFonts w:ascii="Times New Roman" w:cs="Times New Roman" w:eastAsia="Times New Roman" w:hAnsi="Times New Roman"/>
          <w:sz w:val="24"/>
          <w:szCs w:val="24"/>
          <w:rtl w:val="0"/>
        </w:rPr>
        <w:t xml:space="preserve"> est également élu pour la première fois au suffrage universel direct : </w:t>
      </w:r>
      <w:hyperlink r:id="rId6">
        <w:r w:rsidDel="00000000" w:rsidR="00000000" w:rsidRPr="00000000">
          <w:rPr>
            <w:rFonts w:ascii="Times New Roman" w:cs="Times New Roman" w:eastAsia="Times New Roman" w:hAnsi="Times New Roman"/>
            <w:sz w:val="24"/>
            <w:szCs w:val="24"/>
            <w:u w:val="single"/>
            <w:rtl w:val="0"/>
          </w:rPr>
          <w:t xml:space="preserve">Simone Veil</w:t>
        </w:r>
      </w:hyperlink>
      <w:r w:rsidDel="00000000" w:rsidR="00000000" w:rsidRPr="00000000">
        <w:rPr>
          <w:rFonts w:ascii="Times New Roman" w:cs="Times New Roman" w:eastAsia="Times New Roman" w:hAnsi="Times New Roman"/>
          <w:sz w:val="24"/>
          <w:szCs w:val="24"/>
          <w:rtl w:val="0"/>
        </w:rPr>
        <w:t xml:space="preserve">, jusqu’ici ministre de Valéry Giscard d’Estaing, en devient la première présidente.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b w:val="1"/>
          <w:bCs w:val="1"/>
          <w:color w:val="ff0000"/>
          <w:sz w:val="24"/>
          <w:szCs w:val="24"/>
          <w:rtl w:val="0"/>
        </w:rPr>
        <w:t xml:space="preserve">1982-1995</w:t>
      </w:r>
      <w:r w:rsidDel="00000000" w:rsidR="00000000" w:rsidRPr="00000000">
        <w:rPr>
          <w:rFonts w:ascii="Times New Roman" w:cs="Times New Roman" w:eastAsia="Times New Roman" w:hAnsi="Times New Roman"/>
          <w:color w:val="212529"/>
          <w:sz w:val="24"/>
          <w:szCs w:val="24"/>
          <w:highlight w:val="white"/>
          <w:rtl w:val="0"/>
        </w:rPr>
        <w:t xml:space="preserve"> : </w:t>
      </w:r>
      <w:r w:rsidDel="00000000" w:rsidR="00000000" w:rsidRPr="00000000">
        <w:rPr>
          <w:rFonts w:ascii="Times New Roman" w:cs="Times New Roman" w:eastAsia="Times New Roman" w:hAnsi="Times New Roman"/>
          <w:b w:val="1"/>
          <w:bCs w:val="1"/>
          <w:color w:val="ff9900"/>
          <w:sz w:val="24"/>
          <w:szCs w:val="24"/>
          <w:rtl w:val="0"/>
        </w:rPr>
        <w:t xml:space="preserve">François Mitterrand</w:t>
      </w:r>
      <w:r w:rsidDel="00000000" w:rsidR="00000000" w:rsidRPr="00000000">
        <w:rPr>
          <w:rFonts w:ascii="Times New Roman" w:cs="Times New Roman" w:eastAsia="Times New Roman" w:hAnsi="Times New Roman"/>
          <w:color w:val="212529"/>
          <w:sz w:val="24"/>
          <w:szCs w:val="24"/>
          <w:highlight w:val="white"/>
          <w:rtl w:val="0"/>
        </w:rPr>
        <w:t xml:space="preserve"> et </w:t>
      </w:r>
      <w:r w:rsidDel="00000000" w:rsidR="00000000" w:rsidRPr="00000000">
        <w:rPr>
          <w:rFonts w:ascii="Times New Roman" w:cs="Times New Roman" w:eastAsia="Times New Roman" w:hAnsi="Times New Roman"/>
          <w:b w:val="1"/>
          <w:bCs w:val="1"/>
          <w:color w:val="ff9900"/>
          <w:sz w:val="24"/>
          <w:szCs w:val="24"/>
          <w:rtl w:val="0"/>
        </w:rPr>
        <w:t xml:space="preserve">Helmut Kohl</w:t>
      </w:r>
      <w:r w:rsidDel="00000000" w:rsidR="00000000" w:rsidRPr="00000000">
        <w:rPr>
          <w:rFonts w:ascii="Cardo" w:cs="Cardo" w:eastAsia="Cardo" w:hAnsi="Cardo"/>
          <w:color w:val="212529"/>
          <w:sz w:val="24"/>
          <w:szCs w:val="24"/>
          <w:highlight w:val="white"/>
          <w:rtl w:val="0"/>
        </w:rPr>
        <w:t xml:space="preserve"> - main dans la main → Comme l’explique Hubert Védrine, conseiller diplomatique de François Mitterrand dès 1981 puis ministre des Affaires étrangères de 1997 à 2002, c’est l’existence d’un “projet commun” pour l’Europe qui prévaut. Les deux dirigeants basent leur politique extérieure sur une relation franco-allemande solide et apaisée. Pour Hubert Védrine, Helmut Kohl fut même “le dernier chancelier allemand pour qui la relation avec la France était fondamentale”.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Au niveau européen, le président français et le chancelier allemand ont fortement contribué à l’approfondissement de l’intégration au cours des années 1980 et 1990. Tous deux proches de Jacques Delors, président de la Commission européenne de 1985 à 1995, ils ont mis en œuvre “l’Europe politique”, avec l’Acte unique européen en 1986, et le traité de Maastricht de 1992, qui valide le projet de monnaie unique européenne.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color w:val="212529"/>
          <w:sz w:val="24"/>
          <w:szCs w:val="24"/>
          <w:highlight w:val="white"/>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En 1992, François Mitterrand et Helmut Kohl sont également à l’initiative de l’Eurocorps, un corps d’armée regroupant des contingents français et allemand, mais aussi belge, espagnol et luxembourgeois. Cet embryon de défense européenne est depuis intervenu, sous l’égide de l’OTAN, dans les Balkans et en Afghanistan, ainsi qu’au Mali, mais cette fois à la demande de l’Union européenne. La même année, le couple franco-allemand lance également la chaine binationale Arte.</w:t>
            </w:r>
          </w:p>
        </w:tc>
      </w:tr>
    </w:tbl>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212529"/>
          <w:sz w:val="24"/>
          <w:szCs w:val="24"/>
          <w:highlight w:val="whit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b w:val="1"/>
          <w:bCs w:val="1"/>
          <w:color w:val="ff0000"/>
          <w:sz w:val="24"/>
          <w:szCs w:val="24"/>
          <w:rtl w:val="0"/>
        </w:rPr>
        <w:t xml:space="preserve">1998-2005</w:t>
      </w:r>
      <w:r w:rsidDel="00000000" w:rsidR="00000000" w:rsidRPr="00000000">
        <w:rPr>
          <w:rFonts w:ascii="Times New Roman" w:cs="Times New Roman" w:eastAsia="Times New Roman" w:hAnsi="Times New Roman"/>
          <w:color w:val="212529"/>
          <w:sz w:val="24"/>
          <w:szCs w:val="24"/>
          <w:highlight w:val="white"/>
          <w:rtl w:val="0"/>
        </w:rPr>
        <w:t xml:space="preserve"> : </w:t>
      </w:r>
      <w:r w:rsidDel="00000000" w:rsidR="00000000" w:rsidRPr="00000000">
        <w:rPr>
          <w:rFonts w:ascii="Times New Roman" w:cs="Times New Roman" w:eastAsia="Times New Roman" w:hAnsi="Times New Roman"/>
          <w:b w:val="1"/>
          <w:bCs w:val="1"/>
          <w:color w:val="ff9900"/>
          <w:sz w:val="24"/>
          <w:szCs w:val="24"/>
          <w:rtl w:val="0"/>
        </w:rPr>
        <w:t xml:space="preserve">Jacques Chirac</w:t>
      </w:r>
      <w:r w:rsidDel="00000000" w:rsidR="00000000" w:rsidRPr="00000000">
        <w:rPr>
          <w:rFonts w:ascii="Times New Roman" w:cs="Times New Roman" w:eastAsia="Times New Roman" w:hAnsi="Times New Roman"/>
          <w:color w:val="212529"/>
          <w:sz w:val="24"/>
          <w:szCs w:val="24"/>
          <w:highlight w:val="white"/>
          <w:rtl w:val="0"/>
        </w:rPr>
        <w:t xml:space="preserve"> et </w:t>
      </w:r>
      <w:r w:rsidDel="00000000" w:rsidR="00000000" w:rsidRPr="00000000">
        <w:rPr>
          <w:rFonts w:ascii="Times New Roman" w:cs="Times New Roman" w:eastAsia="Times New Roman" w:hAnsi="Times New Roman"/>
          <w:b w:val="1"/>
          <w:bCs w:val="1"/>
          <w:color w:val="ff9900"/>
          <w:sz w:val="24"/>
          <w:szCs w:val="24"/>
          <w:rtl w:val="0"/>
        </w:rPr>
        <w:t xml:space="preserve">Gerhard Schröder</w:t>
      </w:r>
      <w:r w:rsidDel="00000000" w:rsidR="00000000" w:rsidRPr="00000000">
        <w:rPr>
          <w:rFonts w:ascii="Times New Roman" w:cs="Times New Roman" w:eastAsia="Times New Roman" w:hAnsi="Times New Roman"/>
          <w:color w:val="212529"/>
          <w:sz w:val="24"/>
          <w:szCs w:val="24"/>
          <w:highlight w:val="white"/>
          <w:rtl w:val="0"/>
        </w:rPr>
        <w:t xml:space="preserve"> - la fin de l’émotion</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touteleurope.eu/fonctionnement-de-l-ue/simone-veil-symbole-d-une-memoire-europeenn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