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3D9204" w14:textId="6007A45D" w:rsidR="00CB02ED" w:rsidRPr="00CB02ED" w:rsidRDefault="00CB02ED" w:rsidP="00CB02ED">
      <w:pPr>
        <w:spacing w:line="276" w:lineRule="auto"/>
        <w:jc w:val="center"/>
        <w:rPr>
          <w:rFonts w:ascii="Didot" w:hAnsi="Didot" w:cs="Didot" w:hint="cs"/>
          <w:b/>
          <w:bCs/>
          <w:color w:val="385623" w:themeColor="accent6" w:themeShade="80"/>
          <w:sz w:val="32"/>
          <w:szCs w:val="32"/>
        </w:rPr>
      </w:pPr>
      <w:r w:rsidRPr="00CB02ED">
        <w:rPr>
          <w:rFonts w:ascii="Didot" w:hAnsi="Didot" w:cs="Didot" w:hint="cs"/>
          <w:b/>
          <w:bCs/>
          <w:color w:val="385623" w:themeColor="accent6" w:themeShade="80"/>
          <w:sz w:val="32"/>
          <w:szCs w:val="32"/>
        </w:rPr>
        <w:t xml:space="preserve">Le traité de </w:t>
      </w:r>
      <w:r w:rsidRPr="00CB02ED">
        <w:rPr>
          <w:rFonts w:ascii="Didot" w:hAnsi="Didot" w:cs="Didot" w:hint="cs"/>
          <w:b/>
          <w:bCs/>
          <w:color w:val="385623" w:themeColor="accent6" w:themeShade="80"/>
          <w:sz w:val="32"/>
          <w:szCs w:val="32"/>
        </w:rPr>
        <w:t>Lisbonne</w:t>
      </w:r>
      <w:r w:rsidRPr="00CB02ED">
        <w:rPr>
          <w:rFonts w:ascii="Didot" w:hAnsi="Didot" w:cs="Didot" w:hint="cs"/>
          <w:b/>
          <w:bCs/>
          <w:color w:val="385623" w:themeColor="accent6" w:themeShade="80"/>
          <w:sz w:val="32"/>
          <w:szCs w:val="32"/>
        </w:rPr>
        <w:t xml:space="preserve"> (</w:t>
      </w:r>
      <w:r w:rsidRPr="00CB02ED">
        <w:rPr>
          <w:rFonts w:ascii="Didot" w:hAnsi="Didot" w:cs="Didot" w:hint="cs"/>
          <w:b/>
          <w:bCs/>
          <w:color w:val="385623" w:themeColor="accent6" w:themeShade="80"/>
          <w:sz w:val="32"/>
          <w:szCs w:val="32"/>
        </w:rPr>
        <w:t>2009</w:t>
      </w:r>
      <w:r w:rsidRPr="00CB02ED">
        <w:rPr>
          <w:rFonts w:ascii="Didot" w:hAnsi="Didot" w:cs="Didot" w:hint="cs"/>
          <w:b/>
          <w:bCs/>
          <w:color w:val="385623" w:themeColor="accent6" w:themeShade="80"/>
          <w:sz w:val="32"/>
          <w:szCs w:val="32"/>
        </w:rPr>
        <w:t>)</w:t>
      </w:r>
    </w:p>
    <w:p w14:paraId="7A17884E" w14:textId="77777777" w:rsidR="00CB02ED" w:rsidRPr="00CB02ED" w:rsidRDefault="00CB02ED" w:rsidP="00CB02ED">
      <w:pPr>
        <w:spacing w:line="276" w:lineRule="auto"/>
        <w:jc w:val="both"/>
        <w:rPr>
          <w:rFonts w:ascii="Didot" w:hAnsi="Didot" w:cs="Didot" w:hint="cs"/>
          <w:b/>
          <w:bCs/>
          <w:color w:val="385623" w:themeColor="accent6" w:themeShade="80"/>
        </w:rPr>
      </w:pPr>
    </w:p>
    <w:p w14:paraId="73D504E7" w14:textId="77777777" w:rsidR="00CB02ED" w:rsidRPr="00CB02ED" w:rsidRDefault="00CB02ED" w:rsidP="00CB02ED">
      <w:pPr>
        <w:spacing w:line="276" w:lineRule="auto"/>
        <w:jc w:val="both"/>
        <w:rPr>
          <w:rFonts w:ascii="Didot" w:hAnsi="Didot" w:cs="Didot" w:hint="cs"/>
        </w:rPr>
      </w:pPr>
    </w:p>
    <w:tbl>
      <w:tblPr>
        <w:tblStyle w:val="Grilledutableau"/>
        <w:tblW w:w="0" w:type="auto"/>
        <w:tblLook w:val="04A0" w:firstRow="1" w:lastRow="0" w:firstColumn="1" w:lastColumn="0" w:noHBand="0" w:noVBand="1"/>
      </w:tblPr>
      <w:tblGrid>
        <w:gridCol w:w="9062"/>
      </w:tblGrid>
      <w:tr w:rsidR="00CB02ED" w:rsidRPr="00CB02ED" w14:paraId="40B9B2D9" w14:textId="77777777" w:rsidTr="004D1771">
        <w:trPr>
          <w:trHeight w:val="1818"/>
        </w:trPr>
        <w:tc>
          <w:tcPr>
            <w:tcW w:w="9062" w:type="dxa"/>
            <w:shd w:val="clear" w:color="auto" w:fill="E2EFD9" w:themeFill="accent6" w:themeFillTint="33"/>
          </w:tcPr>
          <w:p w14:paraId="4E2A19C3" w14:textId="77777777" w:rsidR="00CB02ED" w:rsidRPr="00CB02ED" w:rsidRDefault="00CB02ED" w:rsidP="00CB02ED">
            <w:pPr>
              <w:spacing w:line="276" w:lineRule="auto"/>
              <w:jc w:val="both"/>
              <w:rPr>
                <w:rFonts w:ascii="Didot" w:eastAsia="Times New Roman" w:hAnsi="Didot" w:cs="Didot" w:hint="cs"/>
                <w:lang w:eastAsia="fr-FR"/>
              </w:rPr>
            </w:pPr>
          </w:p>
          <w:p w14:paraId="402B33D1" w14:textId="3BE3306F" w:rsidR="00CB02ED" w:rsidRPr="00CB02ED" w:rsidRDefault="00CB02ED" w:rsidP="00CB02ED">
            <w:pPr>
              <w:pStyle w:val="Paragraphedeliste"/>
              <w:numPr>
                <w:ilvl w:val="2"/>
                <w:numId w:val="1"/>
              </w:numPr>
              <w:spacing w:line="276" w:lineRule="auto"/>
              <w:jc w:val="both"/>
              <w:rPr>
                <w:rFonts w:ascii="Didot" w:eastAsia="Times New Roman" w:hAnsi="Didot" w:cs="Didot" w:hint="cs"/>
                <w:b/>
                <w:bCs/>
                <w:lang w:eastAsia="fr-FR"/>
              </w:rPr>
            </w:pPr>
            <w:r w:rsidRPr="00CB02ED">
              <w:rPr>
                <w:rFonts w:ascii="Didot" w:eastAsia="Times New Roman" w:hAnsi="Didot" w:cs="Didot" w:hint="cs"/>
                <w:lang w:eastAsia="fr-FR"/>
              </w:rPr>
              <w:t>Deux traités majeurs </w:t>
            </w:r>
            <w:r w:rsidRPr="00CB02ED">
              <w:rPr>
                <w:rFonts w:ascii="Didot" w:eastAsia="Times New Roman" w:hAnsi="Didot" w:cs="Didot" w:hint="cs"/>
                <w:b/>
                <w:bCs/>
                <w:lang w:eastAsia="fr-FR"/>
              </w:rPr>
              <w:t xml:space="preserve">: le TFUE et le TUE  </w:t>
            </w:r>
          </w:p>
          <w:p w14:paraId="5DFC277E" w14:textId="46AFE0E4" w:rsidR="00CB02ED" w:rsidRPr="00CB02ED" w:rsidRDefault="00CB02ED" w:rsidP="00CB02ED">
            <w:pPr>
              <w:pStyle w:val="Paragraphedeliste"/>
              <w:numPr>
                <w:ilvl w:val="2"/>
                <w:numId w:val="1"/>
              </w:numPr>
              <w:spacing w:line="276" w:lineRule="auto"/>
              <w:jc w:val="both"/>
              <w:rPr>
                <w:rFonts w:ascii="Didot" w:hAnsi="Didot" w:cs="Didot" w:hint="cs"/>
              </w:rPr>
            </w:pPr>
            <w:r w:rsidRPr="00CB02ED">
              <w:rPr>
                <w:rFonts w:ascii="Didot" w:eastAsia="Times New Roman" w:hAnsi="Didot" w:cs="Didot" w:hint="cs"/>
                <w:b/>
                <w:bCs/>
                <w:lang w:eastAsia="fr-FR"/>
              </w:rPr>
              <w:t>Suppression des 3 « piliers »</w:t>
            </w:r>
            <w:r w:rsidRPr="00CB02ED">
              <w:rPr>
                <w:rFonts w:ascii="Didot" w:eastAsia="Times New Roman" w:hAnsi="Didot" w:cs="Didot" w:hint="cs"/>
                <w:lang w:eastAsia="fr-FR"/>
              </w:rPr>
              <w:t xml:space="preserve"> : </w:t>
            </w:r>
            <w:r w:rsidRPr="00CB02ED">
              <w:rPr>
                <w:rFonts w:ascii="Didot" w:hAnsi="Didot" w:cs="Didot" w:hint="cs"/>
              </w:rPr>
              <w:t>procédure de décision de droit commun</w:t>
            </w:r>
            <w:r w:rsidRPr="00CB02ED">
              <w:rPr>
                <w:rFonts w:ascii="Didot" w:hAnsi="Didot" w:cs="Didot" w:hint="cs"/>
              </w:rPr>
              <w:t xml:space="preserve"> </w:t>
            </w:r>
            <w:r w:rsidRPr="00CB02ED">
              <w:rPr>
                <w:rFonts w:ascii="Didot" w:hAnsi="Didot" w:cs="Didot"/>
              </w:rPr>
              <w:t>du fait de</w:t>
            </w:r>
            <w:r w:rsidRPr="00CB02ED">
              <w:rPr>
                <w:rFonts w:ascii="Didot" w:hAnsi="Didot" w:cs="Didot" w:hint="cs"/>
              </w:rPr>
              <w:t xml:space="preserve"> sa personnalité juridique </w:t>
            </w:r>
          </w:p>
          <w:p w14:paraId="2AD1DCDE" w14:textId="77777777" w:rsidR="00CB02ED" w:rsidRDefault="00CB02ED" w:rsidP="00CB02ED">
            <w:pPr>
              <w:pStyle w:val="Paragraphedeliste"/>
              <w:numPr>
                <w:ilvl w:val="0"/>
                <w:numId w:val="1"/>
              </w:numPr>
              <w:spacing w:line="276" w:lineRule="auto"/>
              <w:jc w:val="both"/>
              <w:rPr>
                <w:rFonts w:ascii="Didot" w:eastAsia="Times New Roman" w:hAnsi="Didot" w:cs="Didot"/>
                <w:lang w:eastAsia="fr-FR"/>
              </w:rPr>
            </w:pPr>
            <w:r w:rsidRPr="00CB02ED">
              <w:rPr>
                <w:rFonts w:ascii="Didot" w:eastAsia="Times New Roman" w:hAnsi="Didot" w:cs="Didot" w:hint="cs"/>
                <w:b/>
                <w:bCs/>
                <w:lang w:eastAsia="fr-FR"/>
              </w:rPr>
              <w:t>Classement des compétences</w:t>
            </w:r>
            <w:r w:rsidRPr="00CB02ED">
              <w:rPr>
                <w:rFonts w:ascii="Didot" w:eastAsia="Times New Roman" w:hAnsi="Didot" w:cs="Didot" w:hint="cs"/>
                <w:lang w:eastAsia="fr-FR"/>
              </w:rPr>
              <w:t> : compétences exclusives, partagées et à l’appui</w:t>
            </w:r>
          </w:p>
          <w:p w14:paraId="5D632CC7" w14:textId="359B888A" w:rsidR="00CB02ED" w:rsidRPr="00CB02ED" w:rsidRDefault="00CB02ED" w:rsidP="00CB02ED">
            <w:pPr>
              <w:pStyle w:val="Paragraphedeliste"/>
              <w:spacing w:line="276" w:lineRule="auto"/>
              <w:ind w:left="644"/>
              <w:jc w:val="both"/>
              <w:rPr>
                <w:rFonts w:ascii="Didot" w:eastAsia="Times New Roman" w:hAnsi="Didot" w:cs="Didot" w:hint="cs"/>
                <w:lang w:eastAsia="fr-FR"/>
              </w:rPr>
            </w:pPr>
          </w:p>
        </w:tc>
      </w:tr>
    </w:tbl>
    <w:p w14:paraId="2F0EFF88" w14:textId="77777777" w:rsidR="00CB02ED" w:rsidRPr="00CB02ED" w:rsidRDefault="00CB02ED" w:rsidP="00CB02ED">
      <w:pPr>
        <w:spacing w:line="276" w:lineRule="auto"/>
        <w:jc w:val="both"/>
        <w:rPr>
          <w:rFonts w:ascii="Didot" w:eastAsia="Times New Roman" w:hAnsi="Didot" w:cs="Didot" w:hint="cs"/>
          <w:lang w:eastAsia="fr-FR"/>
        </w:rPr>
      </w:pPr>
    </w:p>
    <w:p w14:paraId="7CABDD17" w14:textId="4409DDB7" w:rsidR="00CB02ED" w:rsidRPr="00CB02ED" w:rsidRDefault="00CB02ED" w:rsidP="00CB02ED">
      <w:pPr>
        <w:spacing w:line="276" w:lineRule="auto"/>
        <w:jc w:val="both"/>
        <w:rPr>
          <w:rFonts w:ascii="Didot" w:hAnsi="Didot" w:cs="Didot" w:hint="cs"/>
        </w:rPr>
      </w:pPr>
    </w:p>
    <w:p w14:paraId="7248FB92" w14:textId="77777777" w:rsidR="00CB02ED" w:rsidRPr="00CB02ED" w:rsidRDefault="00CB02ED" w:rsidP="00CB02ED">
      <w:pPr>
        <w:spacing w:line="276" w:lineRule="auto"/>
        <w:jc w:val="both"/>
        <w:rPr>
          <w:rFonts w:ascii="Didot" w:hAnsi="Didot" w:cs="Didot" w:hint="cs"/>
        </w:rPr>
      </w:pPr>
      <w:r w:rsidRPr="00CB02ED">
        <w:rPr>
          <w:rFonts w:ascii="Didot" w:hAnsi="Didot" w:cs="Didot" w:hint="cs"/>
        </w:rPr>
        <w:t xml:space="preserve">Le nouveau traité met en place </w:t>
      </w:r>
      <w:r w:rsidRPr="00CB02ED">
        <w:rPr>
          <w:rFonts w:ascii="Didot" w:hAnsi="Didot" w:cs="Didot" w:hint="cs"/>
          <w:b/>
          <w:bCs/>
          <w:u w:val="single"/>
        </w:rPr>
        <w:t>plusieurs réformes institutionnelles essentielles</w:t>
      </w:r>
      <w:r w:rsidRPr="00CB02ED">
        <w:rPr>
          <w:rFonts w:ascii="Didot" w:hAnsi="Didot" w:cs="Didot" w:hint="cs"/>
        </w:rPr>
        <w:t xml:space="preserve"> parmi lesquelles :</w:t>
      </w:r>
    </w:p>
    <w:p w14:paraId="74E80107" w14:textId="77777777" w:rsidR="00CB02ED" w:rsidRPr="00CB02ED" w:rsidRDefault="00CB02ED" w:rsidP="00CB02ED">
      <w:pPr>
        <w:spacing w:line="276" w:lineRule="auto"/>
        <w:jc w:val="both"/>
        <w:rPr>
          <w:rFonts w:ascii="Didot" w:hAnsi="Didot" w:cs="Didot" w:hint="cs"/>
        </w:rPr>
      </w:pPr>
    </w:p>
    <w:p w14:paraId="037C6674" w14:textId="74DF868B" w:rsidR="00CB02ED" w:rsidRPr="00CB02ED" w:rsidRDefault="00CB02ED" w:rsidP="00CB02ED">
      <w:pPr>
        <w:pStyle w:val="Paragraphedeliste"/>
        <w:numPr>
          <w:ilvl w:val="0"/>
          <w:numId w:val="2"/>
        </w:numPr>
        <w:spacing w:line="276" w:lineRule="auto"/>
        <w:jc w:val="both"/>
        <w:rPr>
          <w:rFonts w:ascii="Didot" w:hAnsi="Didot" w:cs="Didot" w:hint="cs"/>
        </w:rPr>
      </w:pPr>
      <w:r w:rsidRPr="00CB02ED">
        <w:rPr>
          <w:rFonts w:ascii="Didot" w:hAnsi="Didot" w:cs="Didot" w:hint="cs"/>
          <w:b/>
          <w:bCs/>
          <w:color w:val="BF8F00" w:themeColor="accent4" w:themeShade="BF"/>
        </w:rPr>
        <w:t>La personnalité juridique de l’UE</w:t>
      </w:r>
      <w:r w:rsidRPr="00CB02ED">
        <w:rPr>
          <w:rFonts w:ascii="Didot" w:hAnsi="Didot" w:cs="Didot" w:hint="cs"/>
        </w:rPr>
        <w:t xml:space="preserve"> : Elle peut ainsi conclure un accord international dans tous ses domaines de compétence. Le traité permet également à l’Union d’adhérer à la Convention européenne de sauvegarde des droits de l’homme et de libertés fondamentales, ce qu’elle n’a toutefois toujours pas pu réaliser pour des raisons juridiques.</w:t>
      </w:r>
    </w:p>
    <w:p w14:paraId="56731BD3" w14:textId="77777777" w:rsidR="00CB02ED" w:rsidRPr="00CB02ED" w:rsidRDefault="00CB02ED" w:rsidP="00CB02ED">
      <w:pPr>
        <w:spacing w:line="276" w:lineRule="auto"/>
        <w:jc w:val="both"/>
        <w:rPr>
          <w:rFonts w:ascii="Didot" w:hAnsi="Didot" w:cs="Didot" w:hint="cs"/>
        </w:rPr>
      </w:pPr>
    </w:p>
    <w:p w14:paraId="18FF4386" w14:textId="76950318" w:rsidR="00CB02ED" w:rsidRPr="00CB02ED" w:rsidRDefault="00CB02ED" w:rsidP="00CB02ED">
      <w:pPr>
        <w:pStyle w:val="Paragraphedeliste"/>
        <w:numPr>
          <w:ilvl w:val="0"/>
          <w:numId w:val="2"/>
        </w:numPr>
        <w:spacing w:line="276" w:lineRule="auto"/>
        <w:jc w:val="both"/>
        <w:rPr>
          <w:rFonts w:ascii="Didot" w:hAnsi="Didot" w:cs="Didot" w:hint="cs"/>
        </w:rPr>
      </w:pPr>
      <w:r w:rsidRPr="00CB02ED">
        <w:rPr>
          <w:rFonts w:ascii="Didot" w:hAnsi="Didot" w:cs="Didot" w:hint="cs"/>
          <w:b/>
          <w:bCs/>
          <w:color w:val="BF8F00" w:themeColor="accent4" w:themeShade="BF"/>
        </w:rPr>
        <w:t>La simplification du processus de décision au Conseil de l’UE</w:t>
      </w:r>
      <w:r w:rsidRPr="00CB02ED">
        <w:rPr>
          <w:rFonts w:ascii="Didot" w:hAnsi="Didot" w:cs="Didot" w:hint="cs"/>
          <w:color w:val="BF8F00" w:themeColor="accent4" w:themeShade="BF"/>
        </w:rPr>
        <w:t xml:space="preserve"> </w:t>
      </w:r>
      <w:r w:rsidRPr="00CB02ED">
        <w:rPr>
          <w:rFonts w:ascii="Didot" w:hAnsi="Didot" w:cs="Didot" w:hint="cs"/>
        </w:rPr>
        <w:t xml:space="preserve">: depuis le 1er novembre 2014, la majorité qualifiée se définit comme étant égale à au moins 55 % des membres du Conseil, et représentant des </w:t>
      </w:r>
      <w:proofErr w:type="spellStart"/>
      <w:r w:rsidRPr="00CB02ED">
        <w:rPr>
          <w:rFonts w:ascii="Didot" w:hAnsi="Didot" w:cs="Didot" w:hint="cs"/>
        </w:rPr>
        <w:t>Etats</w:t>
      </w:r>
      <w:proofErr w:type="spellEnd"/>
      <w:r w:rsidRPr="00CB02ED">
        <w:rPr>
          <w:rFonts w:ascii="Didot" w:hAnsi="Didot" w:cs="Didot" w:hint="cs"/>
        </w:rPr>
        <w:t xml:space="preserve"> membres réunissant au moins 65 % de la population de l’Union. Une minorité de blocage doit inclure au moins quatre membres du Conseil.</w:t>
      </w:r>
    </w:p>
    <w:p w14:paraId="13CE254D" w14:textId="77777777" w:rsidR="00CB02ED" w:rsidRPr="00CB02ED" w:rsidRDefault="00CB02ED" w:rsidP="00CB02ED">
      <w:pPr>
        <w:spacing w:line="276" w:lineRule="auto"/>
        <w:jc w:val="both"/>
        <w:rPr>
          <w:rFonts w:ascii="Didot" w:hAnsi="Didot" w:cs="Didot" w:hint="cs"/>
        </w:rPr>
      </w:pPr>
    </w:p>
    <w:p w14:paraId="6679C899" w14:textId="31C66888" w:rsidR="00CB02ED" w:rsidRPr="00CB02ED" w:rsidRDefault="00CB02ED" w:rsidP="00CB02ED">
      <w:pPr>
        <w:pStyle w:val="Paragraphedeliste"/>
        <w:numPr>
          <w:ilvl w:val="0"/>
          <w:numId w:val="2"/>
        </w:numPr>
        <w:spacing w:line="276" w:lineRule="auto"/>
        <w:jc w:val="both"/>
        <w:rPr>
          <w:rFonts w:ascii="Didot" w:hAnsi="Didot" w:cs="Didot" w:hint="cs"/>
        </w:rPr>
      </w:pPr>
      <w:r w:rsidRPr="00CB02ED">
        <w:rPr>
          <w:rFonts w:ascii="Didot" w:hAnsi="Didot" w:cs="Didot" w:hint="cs"/>
          <w:b/>
          <w:bCs/>
          <w:color w:val="BF8F00" w:themeColor="accent4" w:themeShade="BF"/>
        </w:rPr>
        <w:t>Une présidence permanente au Conseil européen :</w:t>
      </w:r>
      <w:r w:rsidRPr="00CB02ED">
        <w:rPr>
          <w:rFonts w:ascii="Didot" w:hAnsi="Didot" w:cs="Didot" w:hint="cs"/>
          <w:color w:val="BF8F00" w:themeColor="accent4" w:themeShade="BF"/>
        </w:rPr>
        <w:t xml:space="preserve"> </w:t>
      </w:r>
      <w:r w:rsidRPr="00CB02ED">
        <w:rPr>
          <w:rFonts w:ascii="Didot" w:hAnsi="Didot" w:cs="Didot" w:hint="cs"/>
        </w:rPr>
        <w:t>un président est désormais élu à la majorité qualifiée renforcée (72 % des membres du Conseil, représentant des États membres réunissant au moins 65 % de la population de l’Union) pour une durée de deux ans et demi, renouvelable une fois.</w:t>
      </w:r>
    </w:p>
    <w:p w14:paraId="69117650" w14:textId="77777777" w:rsidR="00CB02ED" w:rsidRPr="00CB02ED" w:rsidRDefault="00CB02ED" w:rsidP="00CB02ED">
      <w:pPr>
        <w:spacing w:line="276" w:lineRule="auto"/>
        <w:jc w:val="both"/>
        <w:rPr>
          <w:rFonts w:ascii="Didot" w:hAnsi="Didot" w:cs="Didot" w:hint="cs"/>
        </w:rPr>
      </w:pPr>
    </w:p>
    <w:p w14:paraId="5DF4C802" w14:textId="168373D2" w:rsidR="00CB02ED" w:rsidRPr="00AF2C11" w:rsidRDefault="00CB02ED" w:rsidP="00AF2C11">
      <w:pPr>
        <w:pStyle w:val="Paragraphedeliste"/>
        <w:numPr>
          <w:ilvl w:val="0"/>
          <w:numId w:val="2"/>
        </w:numPr>
        <w:spacing w:line="276" w:lineRule="auto"/>
        <w:jc w:val="both"/>
        <w:rPr>
          <w:rFonts w:ascii="Didot" w:hAnsi="Didot" w:cs="Didot" w:hint="cs"/>
        </w:rPr>
      </w:pPr>
      <w:r w:rsidRPr="00AF2C11">
        <w:rPr>
          <w:rFonts w:ascii="Didot" w:hAnsi="Didot" w:cs="Didot" w:hint="cs"/>
          <w:b/>
          <w:bCs/>
          <w:color w:val="BF8F00" w:themeColor="accent4" w:themeShade="BF"/>
        </w:rPr>
        <w:t>Un haut représentant de l’Union pour les affaires étrangères et la politique de sécurité :</w:t>
      </w:r>
      <w:r w:rsidRPr="00AF2C11">
        <w:rPr>
          <w:rFonts w:ascii="Didot" w:hAnsi="Didot" w:cs="Didot" w:hint="cs"/>
          <w:color w:val="BF8F00" w:themeColor="accent4" w:themeShade="BF"/>
        </w:rPr>
        <w:t xml:space="preserve"> </w:t>
      </w:r>
      <w:r w:rsidRPr="00AF2C11">
        <w:rPr>
          <w:rFonts w:ascii="Didot" w:hAnsi="Didot" w:cs="Didot" w:hint="cs"/>
        </w:rPr>
        <w:t>membre du Conseil de l’UE et de la Commission européenne, il conduit la politique étrangère et de sécurité commune de l’Union. Il préside le Conseil des affaires étrangères et est l’un des vice-présidents de la Commission.</w:t>
      </w:r>
    </w:p>
    <w:p w14:paraId="12A9D29D" w14:textId="77777777" w:rsidR="00CB02ED" w:rsidRPr="00CB02ED" w:rsidRDefault="00CB02ED" w:rsidP="00CB02ED">
      <w:pPr>
        <w:spacing w:line="276" w:lineRule="auto"/>
        <w:jc w:val="both"/>
        <w:rPr>
          <w:rFonts w:ascii="Didot" w:hAnsi="Didot" w:cs="Didot" w:hint="cs"/>
        </w:rPr>
      </w:pPr>
    </w:p>
    <w:p w14:paraId="18019B5E" w14:textId="6A910C1B" w:rsidR="00CB02ED" w:rsidRPr="00AF2C11" w:rsidRDefault="00CB02ED" w:rsidP="00AF2C11">
      <w:pPr>
        <w:pStyle w:val="Paragraphedeliste"/>
        <w:numPr>
          <w:ilvl w:val="0"/>
          <w:numId w:val="2"/>
        </w:numPr>
        <w:spacing w:line="276" w:lineRule="auto"/>
        <w:jc w:val="both"/>
        <w:rPr>
          <w:rFonts w:ascii="Didot" w:hAnsi="Didot" w:cs="Didot" w:hint="cs"/>
        </w:rPr>
      </w:pPr>
      <w:r w:rsidRPr="00AF2C11">
        <w:rPr>
          <w:rFonts w:ascii="Didot" w:hAnsi="Didot" w:cs="Didot" w:hint="cs"/>
          <w:b/>
          <w:bCs/>
          <w:color w:val="BF8F00" w:themeColor="accent4" w:themeShade="BF"/>
        </w:rPr>
        <w:t>Le renforcement du rôle des Parlements nationaux :</w:t>
      </w:r>
      <w:r w:rsidRPr="00AF2C11">
        <w:rPr>
          <w:rFonts w:ascii="Didot" w:hAnsi="Didot" w:cs="Didot" w:hint="cs"/>
          <w:color w:val="BF8F00" w:themeColor="accent4" w:themeShade="BF"/>
        </w:rPr>
        <w:t xml:space="preserve"> </w:t>
      </w:r>
      <w:r w:rsidRPr="00AF2C11">
        <w:rPr>
          <w:rFonts w:ascii="Didot" w:hAnsi="Didot" w:cs="Didot" w:hint="cs"/>
        </w:rPr>
        <w:t xml:space="preserve">le traité prévoit un mécanisme de contrôle renforcé du respect du principe de subsidiarité. Ce </w:t>
      </w:r>
      <w:proofErr w:type="gramStart"/>
      <w:r w:rsidRPr="00AF2C11">
        <w:rPr>
          <w:rFonts w:ascii="Didot" w:hAnsi="Didot" w:cs="Didot" w:hint="cs"/>
        </w:rPr>
        <w:lastRenderedPageBreak/>
        <w:t>mécanisme</w:t>
      </w:r>
      <w:proofErr w:type="gramEnd"/>
      <w:r w:rsidRPr="00AF2C11">
        <w:rPr>
          <w:rFonts w:ascii="Didot" w:hAnsi="Didot" w:cs="Didot" w:hint="cs"/>
        </w:rPr>
        <w:t xml:space="preserve"> permet aux Parlements nationaux de faire échouer des propositions de la Commission qui ne respecteraient pas ce principe.</w:t>
      </w:r>
    </w:p>
    <w:p w14:paraId="10B21FD2" w14:textId="77777777" w:rsidR="00CB02ED" w:rsidRPr="00CB02ED" w:rsidRDefault="00CB02ED" w:rsidP="00CB02ED">
      <w:pPr>
        <w:spacing w:line="276" w:lineRule="auto"/>
        <w:jc w:val="both"/>
        <w:rPr>
          <w:rFonts w:ascii="Didot" w:hAnsi="Didot" w:cs="Didot" w:hint="cs"/>
        </w:rPr>
      </w:pPr>
    </w:p>
    <w:p w14:paraId="1C7B7762" w14:textId="45782142" w:rsidR="00CB02ED" w:rsidRPr="00AF2C11" w:rsidRDefault="00CB02ED" w:rsidP="00AF2C11">
      <w:pPr>
        <w:pStyle w:val="Paragraphedeliste"/>
        <w:numPr>
          <w:ilvl w:val="0"/>
          <w:numId w:val="2"/>
        </w:numPr>
        <w:spacing w:line="276" w:lineRule="auto"/>
        <w:jc w:val="both"/>
        <w:rPr>
          <w:rFonts w:ascii="Didot" w:hAnsi="Didot" w:cs="Didot" w:hint="cs"/>
        </w:rPr>
      </w:pPr>
      <w:r w:rsidRPr="00AF2C11">
        <w:rPr>
          <w:rFonts w:ascii="Didot" w:hAnsi="Didot" w:cs="Didot" w:hint="cs"/>
          <w:b/>
          <w:bCs/>
          <w:color w:val="BF8F00" w:themeColor="accent4" w:themeShade="BF"/>
        </w:rPr>
        <w:t xml:space="preserve">La clarification de la répartition des compétences entre l’Union et les </w:t>
      </w:r>
      <w:proofErr w:type="spellStart"/>
      <w:r w:rsidRPr="00AF2C11">
        <w:rPr>
          <w:rFonts w:ascii="Didot" w:hAnsi="Didot" w:cs="Didot" w:hint="cs"/>
          <w:b/>
          <w:bCs/>
          <w:color w:val="BF8F00" w:themeColor="accent4" w:themeShade="BF"/>
        </w:rPr>
        <w:t>Etats</w:t>
      </w:r>
      <w:proofErr w:type="spellEnd"/>
      <w:r w:rsidRPr="00AF2C11">
        <w:rPr>
          <w:rFonts w:ascii="Didot" w:hAnsi="Didot" w:cs="Didot" w:hint="cs"/>
          <w:b/>
          <w:bCs/>
          <w:color w:val="BF8F00" w:themeColor="accent4" w:themeShade="BF"/>
        </w:rPr>
        <w:t xml:space="preserve"> membres</w:t>
      </w:r>
      <w:r w:rsidRPr="00AF2C11">
        <w:rPr>
          <w:rFonts w:ascii="Didot" w:hAnsi="Didot" w:cs="Didot" w:hint="cs"/>
          <w:color w:val="BF8F00" w:themeColor="accent4" w:themeShade="BF"/>
        </w:rPr>
        <w:t xml:space="preserve"> </w:t>
      </w:r>
      <w:r w:rsidRPr="00AF2C11">
        <w:rPr>
          <w:rFonts w:ascii="Didot" w:hAnsi="Didot" w:cs="Didot" w:hint="cs"/>
        </w:rPr>
        <w:t>: le nouveau texte énumère la liste des domaines relevant des compétences exclusives, des compétences partagées et des compétences d’appui.</w:t>
      </w:r>
    </w:p>
    <w:p w14:paraId="479FB801" w14:textId="77777777" w:rsidR="00CB02ED" w:rsidRPr="00CB02ED" w:rsidRDefault="00CB02ED" w:rsidP="00CB02ED">
      <w:pPr>
        <w:spacing w:line="276" w:lineRule="auto"/>
        <w:jc w:val="both"/>
        <w:rPr>
          <w:rFonts w:ascii="Didot" w:hAnsi="Didot" w:cs="Didot" w:hint="cs"/>
        </w:rPr>
      </w:pPr>
    </w:p>
    <w:p w14:paraId="5562CA31" w14:textId="187CA1B0" w:rsidR="00CB02ED" w:rsidRPr="00AF2C11" w:rsidRDefault="00CB02ED" w:rsidP="00AF2C11">
      <w:pPr>
        <w:pStyle w:val="Paragraphedeliste"/>
        <w:numPr>
          <w:ilvl w:val="0"/>
          <w:numId w:val="2"/>
        </w:numPr>
        <w:spacing w:line="276" w:lineRule="auto"/>
        <w:jc w:val="both"/>
        <w:rPr>
          <w:rFonts w:ascii="Didot" w:hAnsi="Didot" w:cs="Didot" w:hint="cs"/>
        </w:rPr>
      </w:pPr>
      <w:r w:rsidRPr="00AF2C11">
        <w:rPr>
          <w:rFonts w:ascii="Didot" w:hAnsi="Didot" w:cs="Didot" w:hint="cs"/>
          <w:b/>
          <w:bCs/>
          <w:color w:val="BF8F00" w:themeColor="accent4" w:themeShade="BF"/>
        </w:rPr>
        <w:t xml:space="preserve">La possibilité d’initiative citoyenne </w:t>
      </w:r>
      <w:r w:rsidR="00AF2C11">
        <w:rPr>
          <w:rFonts w:ascii="Didot" w:hAnsi="Didot" w:cs="Didot"/>
          <w:b/>
          <w:bCs/>
          <w:color w:val="BF8F00" w:themeColor="accent4" w:themeShade="BF"/>
        </w:rPr>
        <w:t xml:space="preserve">(Article 11 du TUE) </w:t>
      </w:r>
      <w:r w:rsidRPr="00AF2C11">
        <w:rPr>
          <w:rFonts w:ascii="Didot" w:hAnsi="Didot" w:cs="Didot" w:hint="cs"/>
          <w:b/>
          <w:bCs/>
          <w:color w:val="BF8F00" w:themeColor="accent4" w:themeShade="BF"/>
        </w:rPr>
        <w:t>:</w:t>
      </w:r>
      <w:r w:rsidRPr="00AF2C11">
        <w:rPr>
          <w:rFonts w:ascii="Didot" w:hAnsi="Didot" w:cs="Didot" w:hint="cs"/>
          <w:color w:val="BF8F00" w:themeColor="accent4" w:themeShade="BF"/>
        </w:rPr>
        <w:t xml:space="preserve"> </w:t>
      </w:r>
      <w:r w:rsidRPr="00AF2C11">
        <w:rPr>
          <w:rFonts w:ascii="Didot" w:hAnsi="Didot" w:cs="Didot" w:hint="cs"/>
        </w:rPr>
        <w:t xml:space="preserve">les citoyens européens acquièrent le droit d’inviter la Commission européenne, dans le cadre de ses attributions, à soumettre une proposition appropriée au Parlement européen et au Conseil de l’Union européenne. Il est nécessaire de recueillir l’approbation d’un million de citoyens de l’Union, ressortissants d’un quart des </w:t>
      </w:r>
      <w:proofErr w:type="spellStart"/>
      <w:r w:rsidRPr="00AF2C11">
        <w:rPr>
          <w:rFonts w:ascii="Didot" w:hAnsi="Didot" w:cs="Didot" w:hint="cs"/>
        </w:rPr>
        <w:t>Etats</w:t>
      </w:r>
      <w:proofErr w:type="spellEnd"/>
      <w:r w:rsidRPr="00AF2C11">
        <w:rPr>
          <w:rFonts w:ascii="Didot" w:hAnsi="Didot" w:cs="Didot" w:hint="cs"/>
        </w:rPr>
        <w:t xml:space="preserve"> membres. Il faut également que l’acte juridique demandé soit “nécessaire aux fins de l’application des traités”.</w:t>
      </w:r>
    </w:p>
    <w:p w14:paraId="49F38CBF" w14:textId="77777777" w:rsidR="00CB02ED" w:rsidRPr="00CB02ED" w:rsidRDefault="00CB02ED" w:rsidP="00CB02ED">
      <w:pPr>
        <w:spacing w:line="276" w:lineRule="auto"/>
        <w:jc w:val="both"/>
        <w:rPr>
          <w:rFonts w:ascii="Didot" w:hAnsi="Didot" w:cs="Didot" w:hint="cs"/>
        </w:rPr>
      </w:pPr>
    </w:p>
    <w:p w14:paraId="1F6B5826" w14:textId="6E3BF279" w:rsidR="00CB02ED" w:rsidRPr="00AF2C11" w:rsidRDefault="00CB02ED" w:rsidP="00AF2C11">
      <w:pPr>
        <w:pStyle w:val="Paragraphedeliste"/>
        <w:numPr>
          <w:ilvl w:val="0"/>
          <w:numId w:val="2"/>
        </w:numPr>
        <w:spacing w:line="276" w:lineRule="auto"/>
        <w:jc w:val="both"/>
        <w:rPr>
          <w:rFonts w:ascii="Didot" w:hAnsi="Didot" w:cs="Didot" w:hint="cs"/>
        </w:rPr>
      </w:pPr>
      <w:r w:rsidRPr="00AF2C11">
        <w:rPr>
          <w:rFonts w:ascii="Didot" w:hAnsi="Didot" w:cs="Didot" w:hint="cs"/>
        </w:rPr>
        <w:t xml:space="preserve">La Charte des droits fondamentaux acquiert une force juridique contraignante pour 24 </w:t>
      </w:r>
      <w:proofErr w:type="spellStart"/>
      <w:r w:rsidRPr="00AF2C11">
        <w:rPr>
          <w:rFonts w:ascii="Didot" w:hAnsi="Didot" w:cs="Didot" w:hint="cs"/>
        </w:rPr>
        <w:t>Etats</w:t>
      </w:r>
      <w:proofErr w:type="spellEnd"/>
      <w:r w:rsidRPr="00AF2C11">
        <w:rPr>
          <w:rFonts w:ascii="Didot" w:hAnsi="Didot" w:cs="Didot" w:hint="cs"/>
        </w:rPr>
        <w:t xml:space="preserve"> membres (aujourd’hui 26 avec l’adhésion croate et l’abandon par la République tchèque de sa dérogation), la Pologne bénéficiant, comme le Royaume-Uni lorsqu’il était encore membre de l’UE, d’une dérogation quant à son application.</w:t>
      </w:r>
    </w:p>
    <w:p w14:paraId="74217EB2" w14:textId="77777777" w:rsidR="00CB02ED" w:rsidRPr="00CB02ED" w:rsidRDefault="00CB02ED" w:rsidP="00CB02ED">
      <w:pPr>
        <w:spacing w:line="276" w:lineRule="auto"/>
        <w:jc w:val="both"/>
        <w:rPr>
          <w:rFonts w:ascii="Didot" w:hAnsi="Didot" w:cs="Didot" w:hint="cs"/>
        </w:rPr>
      </w:pPr>
    </w:p>
    <w:p w14:paraId="44066B26" w14:textId="2ADF72DD" w:rsidR="00CB02ED" w:rsidRPr="00AF2C11" w:rsidRDefault="00CB02ED" w:rsidP="00AF2C11">
      <w:pPr>
        <w:pStyle w:val="Paragraphedeliste"/>
        <w:numPr>
          <w:ilvl w:val="0"/>
          <w:numId w:val="2"/>
        </w:numPr>
        <w:spacing w:line="276" w:lineRule="auto"/>
        <w:jc w:val="both"/>
        <w:rPr>
          <w:rFonts w:ascii="Didot" w:hAnsi="Didot" w:cs="Didot" w:hint="cs"/>
        </w:rPr>
      </w:pPr>
      <w:r w:rsidRPr="00AF2C11">
        <w:rPr>
          <w:rFonts w:ascii="Didot" w:hAnsi="Didot" w:cs="Didot" w:hint="cs"/>
          <w:b/>
          <w:bCs/>
          <w:color w:val="BF8F00" w:themeColor="accent4" w:themeShade="BF"/>
        </w:rPr>
        <w:t>La Banque centrale européenne devient une véritable institution de l’UE</w:t>
      </w:r>
      <w:r w:rsidRPr="00AF2C11">
        <w:rPr>
          <w:rFonts w:ascii="Didot" w:hAnsi="Didot" w:cs="Didot" w:hint="cs"/>
        </w:rPr>
        <w:t xml:space="preserve"> au même titre que la Commission européenne, le Conseil, le Conseil européen, le Parlement européen, la Cour de justice de l’Union européenne et la Cour des comptes européenne.</w:t>
      </w:r>
    </w:p>
    <w:p w14:paraId="45496DA4" w14:textId="77777777" w:rsidR="00CB02ED" w:rsidRPr="00CB02ED" w:rsidRDefault="00CB02ED" w:rsidP="00CB02ED">
      <w:pPr>
        <w:spacing w:line="276" w:lineRule="auto"/>
        <w:jc w:val="both"/>
        <w:rPr>
          <w:rFonts w:ascii="Didot" w:hAnsi="Didot" w:cs="Didot" w:hint="cs"/>
        </w:rPr>
      </w:pPr>
    </w:p>
    <w:p w14:paraId="2D000871" w14:textId="34ED38C9" w:rsidR="00CB02ED" w:rsidRPr="00AF2C11" w:rsidRDefault="00CB02ED" w:rsidP="00AF2C11">
      <w:pPr>
        <w:pStyle w:val="Paragraphedeliste"/>
        <w:numPr>
          <w:ilvl w:val="0"/>
          <w:numId w:val="2"/>
        </w:numPr>
        <w:spacing w:line="276" w:lineRule="auto"/>
        <w:jc w:val="both"/>
        <w:rPr>
          <w:rFonts w:ascii="Didot" w:hAnsi="Didot" w:cs="Didot" w:hint="cs"/>
        </w:rPr>
      </w:pPr>
      <w:r w:rsidRPr="00AF2C11">
        <w:rPr>
          <w:rFonts w:ascii="Didot" w:hAnsi="Didot" w:cs="Didot" w:hint="cs"/>
        </w:rPr>
        <w:t xml:space="preserve">En matière de coopération judiciaire et policière, la plupart des décisions sont désormais </w:t>
      </w:r>
      <w:r w:rsidRPr="00AF2C11">
        <w:rPr>
          <w:rFonts w:ascii="Didot" w:hAnsi="Didot" w:cs="Didot" w:hint="cs"/>
          <w:b/>
          <w:bCs/>
        </w:rPr>
        <w:t>prises à la majorité</w:t>
      </w:r>
      <w:r w:rsidRPr="00AF2C11">
        <w:rPr>
          <w:rFonts w:ascii="Didot" w:hAnsi="Didot" w:cs="Didot" w:hint="cs"/>
        </w:rPr>
        <w:t>, et non plus à l’unanimité.</w:t>
      </w:r>
    </w:p>
    <w:p w14:paraId="7550A50C" w14:textId="77777777" w:rsidR="00CB02ED" w:rsidRPr="00CB02ED" w:rsidRDefault="00CB02ED" w:rsidP="00CB02ED">
      <w:pPr>
        <w:spacing w:line="276" w:lineRule="auto"/>
        <w:jc w:val="both"/>
        <w:rPr>
          <w:rFonts w:ascii="Didot" w:hAnsi="Didot" w:cs="Didot" w:hint="cs"/>
        </w:rPr>
      </w:pPr>
    </w:p>
    <w:p w14:paraId="31D8C0EF" w14:textId="015F3AD8" w:rsidR="00CB02ED" w:rsidRPr="00AF2C11" w:rsidRDefault="00CB02ED" w:rsidP="00AF2C11">
      <w:pPr>
        <w:pStyle w:val="Paragraphedeliste"/>
        <w:numPr>
          <w:ilvl w:val="0"/>
          <w:numId w:val="2"/>
        </w:numPr>
        <w:spacing w:line="276" w:lineRule="auto"/>
        <w:jc w:val="both"/>
        <w:rPr>
          <w:rFonts w:ascii="Didot" w:hAnsi="Didot" w:cs="Didot" w:hint="cs"/>
        </w:rPr>
      </w:pPr>
      <w:r w:rsidRPr="00AF2C11">
        <w:rPr>
          <w:rFonts w:ascii="Didot" w:hAnsi="Didot" w:cs="Didot" w:hint="cs"/>
        </w:rPr>
        <w:t xml:space="preserve">La lutte contre </w:t>
      </w:r>
      <w:r w:rsidRPr="00AF2C11">
        <w:rPr>
          <w:rFonts w:ascii="Didot" w:hAnsi="Didot" w:cs="Didot" w:hint="cs"/>
          <w:b/>
          <w:bCs/>
        </w:rPr>
        <w:t>le changement climatique</w:t>
      </w:r>
      <w:r w:rsidRPr="00AF2C11">
        <w:rPr>
          <w:rFonts w:ascii="Didot" w:hAnsi="Didot" w:cs="Didot" w:hint="cs"/>
        </w:rPr>
        <w:t xml:space="preserve"> devient l’un des objectifs de la politique environnementale.</w:t>
      </w:r>
    </w:p>
    <w:p w14:paraId="636E692A" w14:textId="77777777" w:rsidR="00CB02ED" w:rsidRPr="00CB02ED" w:rsidRDefault="00CB02ED" w:rsidP="00CB02ED">
      <w:pPr>
        <w:spacing w:line="276" w:lineRule="auto"/>
        <w:jc w:val="both"/>
        <w:rPr>
          <w:rFonts w:ascii="Didot" w:hAnsi="Didot" w:cs="Didot" w:hint="cs"/>
        </w:rPr>
      </w:pPr>
    </w:p>
    <w:p w14:paraId="498B9CE2" w14:textId="68E55502" w:rsidR="00CB02ED" w:rsidRPr="00AF2C11" w:rsidRDefault="00CB02ED" w:rsidP="00AF2C11">
      <w:pPr>
        <w:pStyle w:val="Paragraphedeliste"/>
        <w:numPr>
          <w:ilvl w:val="0"/>
          <w:numId w:val="2"/>
        </w:numPr>
        <w:spacing w:line="276" w:lineRule="auto"/>
        <w:jc w:val="both"/>
        <w:rPr>
          <w:rFonts w:ascii="Didot" w:hAnsi="Didot" w:cs="Didot" w:hint="cs"/>
        </w:rPr>
      </w:pPr>
      <w:r w:rsidRPr="00AF2C11">
        <w:rPr>
          <w:rFonts w:ascii="Didot" w:hAnsi="Didot" w:cs="Didot" w:hint="cs"/>
        </w:rPr>
        <w:t xml:space="preserve">Pour la première fois, le traité prévoit une clause de sortie qui confère aux </w:t>
      </w:r>
      <w:proofErr w:type="spellStart"/>
      <w:r w:rsidRPr="00AF2C11">
        <w:rPr>
          <w:rFonts w:ascii="Didot" w:hAnsi="Didot" w:cs="Didot" w:hint="cs"/>
        </w:rPr>
        <w:t>Etats</w:t>
      </w:r>
      <w:proofErr w:type="spellEnd"/>
      <w:r w:rsidRPr="00AF2C11">
        <w:rPr>
          <w:rFonts w:ascii="Didot" w:hAnsi="Didot" w:cs="Didot" w:hint="cs"/>
        </w:rPr>
        <w:t xml:space="preserve"> membres </w:t>
      </w:r>
      <w:r w:rsidRPr="00AF2C11">
        <w:rPr>
          <w:rFonts w:ascii="Didot" w:hAnsi="Didot" w:cs="Didot" w:hint="cs"/>
          <w:b/>
          <w:bCs/>
        </w:rPr>
        <w:t>le droit de se retirer de l’Union européenne</w:t>
      </w:r>
      <w:r w:rsidRPr="00AF2C11">
        <w:rPr>
          <w:rFonts w:ascii="Didot" w:hAnsi="Didot" w:cs="Didot" w:hint="cs"/>
        </w:rPr>
        <w:t xml:space="preserve"> : l’Article 50. C’est celui qui sera activé par le Royaume-Uni en 2017, entraînant sa sortie de l’Union en 2020.</w:t>
      </w:r>
    </w:p>
    <w:p w14:paraId="1D2E7C78" w14:textId="77777777" w:rsidR="00CB02ED" w:rsidRPr="00CB02ED" w:rsidRDefault="00CB02ED" w:rsidP="00CB02ED">
      <w:pPr>
        <w:spacing w:line="276" w:lineRule="auto"/>
        <w:jc w:val="both"/>
        <w:rPr>
          <w:rFonts w:ascii="Didot" w:hAnsi="Didot" w:cs="Didot" w:hint="cs"/>
        </w:rPr>
      </w:pPr>
    </w:p>
    <w:sectPr w:rsidR="00CB02ED" w:rsidRPr="00CB02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idot">
    <w:altName w:val="﷽﷽﷽﷽﷽﷽⸿"/>
    <w:panose1 w:val="02000503000000020003"/>
    <w:charset w:val="B1"/>
    <w:family w:val="auto"/>
    <w:pitch w:val="variable"/>
    <w:sig w:usb0="80000867" w:usb1="00000000" w:usb2="00000000" w:usb3="00000000" w:csb0="000001FB"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D07A73"/>
    <w:multiLevelType w:val="hybridMultilevel"/>
    <w:tmpl w:val="75EA16E6"/>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644"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F707D89"/>
    <w:multiLevelType w:val="hybridMultilevel"/>
    <w:tmpl w:val="00A641E8"/>
    <w:lvl w:ilvl="0" w:tplc="18640B1A">
      <w:start w:val="1"/>
      <w:numFmt w:val="bullet"/>
      <w:lvlText w:val=""/>
      <w:lvlJc w:val="left"/>
      <w:pPr>
        <w:ind w:left="502" w:hanging="360"/>
      </w:pPr>
      <w:rPr>
        <w:rFonts w:ascii="Wingdings" w:hAnsi="Wingdings" w:hint="default"/>
        <w:color w:val="BF8F00" w:themeColor="accent4" w:themeShade="BF"/>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2ED"/>
    <w:rsid w:val="00AF2C11"/>
    <w:rsid w:val="00CB02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AA2744C"/>
  <w15:chartTrackingRefBased/>
  <w15:docId w15:val="{1D409D5F-CDBC-E047-A1BE-9304B33DB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2E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B02ED"/>
    <w:pPr>
      <w:ind w:left="720"/>
      <w:contextualSpacing/>
    </w:pPr>
  </w:style>
  <w:style w:type="table" w:styleId="Grilledutableau">
    <w:name w:val="Table Grid"/>
    <w:basedOn w:val="TableauNormal"/>
    <w:uiPriority w:val="39"/>
    <w:rsid w:val="00CB02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4565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597</Words>
  <Characters>3137</Characters>
  <Application>Microsoft Office Word</Application>
  <DocSecurity>0</DocSecurity>
  <Lines>54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MONAMY Shanelle</dc:creator>
  <cp:keywords/>
  <dc:description/>
  <cp:lastModifiedBy>MONAMY Shanelle</cp:lastModifiedBy>
  <cp:revision>1</cp:revision>
  <dcterms:created xsi:type="dcterms:W3CDTF">2021-04-25T14:31:00Z</dcterms:created>
  <dcterms:modified xsi:type="dcterms:W3CDTF">2021-04-25T14:49:00Z</dcterms:modified>
</cp:coreProperties>
</file>