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452B48" w14:textId="1A62034D" w:rsidR="006D0FDA" w:rsidRDefault="006D0FDA" w:rsidP="00BD625D">
      <w:pPr>
        <w:spacing w:line="276" w:lineRule="auto"/>
        <w:jc w:val="center"/>
        <w:rPr>
          <w:rFonts w:ascii="Didot" w:hAnsi="Didot" w:cs="Didot"/>
          <w:b/>
          <w:bCs/>
          <w:color w:val="385623" w:themeColor="accent6" w:themeShade="80"/>
          <w:sz w:val="32"/>
          <w:szCs w:val="32"/>
        </w:rPr>
      </w:pPr>
      <w:r w:rsidRPr="006D0FDA">
        <w:rPr>
          <w:rFonts w:ascii="Didot" w:hAnsi="Didot" w:cs="Didot" w:hint="cs"/>
          <w:b/>
          <w:bCs/>
          <w:color w:val="385623" w:themeColor="accent6" w:themeShade="80"/>
          <w:sz w:val="32"/>
          <w:szCs w:val="32"/>
        </w:rPr>
        <w:t>Le traité de Maastricht (1992)</w:t>
      </w:r>
    </w:p>
    <w:p w14:paraId="3D2560F6" w14:textId="77777777" w:rsidR="00B918FD" w:rsidRPr="006D0FDA" w:rsidRDefault="00B918FD" w:rsidP="00BD625D">
      <w:pPr>
        <w:spacing w:line="276" w:lineRule="auto"/>
        <w:jc w:val="center"/>
        <w:rPr>
          <w:rFonts w:ascii="Didot" w:hAnsi="Didot" w:cs="Didot"/>
          <w:b/>
          <w:bCs/>
          <w:color w:val="385623" w:themeColor="accent6" w:themeShade="80"/>
          <w:sz w:val="32"/>
          <w:szCs w:val="32"/>
        </w:rPr>
      </w:pPr>
    </w:p>
    <w:p w14:paraId="201FAE98" w14:textId="7A79C453" w:rsidR="006D0FDA" w:rsidRDefault="006D0FDA" w:rsidP="00BD625D">
      <w:pPr>
        <w:spacing w:line="276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0FDA" w14:paraId="2C28C9C4" w14:textId="77777777" w:rsidTr="00BD625D">
        <w:trPr>
          <w:trHeight w:val="1818"/>
        </w:trPr>
        <w:tc>
          <w:tcPr>
            <w:tcW w:w="9062" w:type="dxa"/>
            <w:shd w:val="clear" w:color="auto" w:fill="E2EFD9" w:themeFill="accent6" w:themeFillTint="33"/>
          </w:tcPr>
          <w:p w14:paraId="6DDB550C" w14:textId="77777777" w:rsidR="00BD625D" w:rsidRDefault="00BD625D" w:rsidP="00BD625D">
            <w:pPr>
              <w:spacing w:line="276" w:lineRule="auto"/>
              <w:rPr>
                <w:rFonts w:ascii="Times New Roman" w:eastAsia="Times New Roman" w:hAnsi="Times New Roman" w:cs="Times New Roman"/>
                <w:lang w:eastAsia="fr-FR"/>
              </w:rPr>
            </w:pPr>
          </w:p>
          <w:p w14:paraId="2257E49C" w14:textId="47646868" w:rsidR="006D0FDA" w:rsidRPr="006D0FDA" w:rsidRDefault="006D0FDA" w:rsidP="00BD625D">
            <w:pPr>
              <w:pStyle w:val="Paragraphedeliste"/>
              <w:numPr>
                <w:ilvl w:val="2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lang w:eastAsia="fr-FR"/>
              </w:rPr>
            </w:pPr>
            <w:r w:rsidRPr="006D0FDA">
              <w:rPr>
                <w:rFonts w:ascii="Times New Roman" w:eastAsia="Times New Roman" w:hAnsi="Times New Roman" w:cs="Times New Roman"/>
                <w:lang w:eastAsia="fr-FR"/>
              </w:rPr>
              <w:t xml:space="preserve">D’un marché commun à une </w:t>
            </w:r>
            <w:r w:rsidRPr="006D0FDA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vocation politique</w:t>
            </w:r>
          </w:p>
          <w:p w14:paraId="67D35A8F" w14:textId="77777777" w:rsidR="00BD625D" w:rsidRDefault="006D0FDA" w:rsidP="00BD625D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 xml:space="preserve">Au moment de la signature, 12 </w:t>
            </w:r>
            <w:r w:rsidR="00B918FD">
              <w:rPr>
                <w:rFonts w:ascii="Times New Roman" w:eastAsia="Times New Roman" w:hAnsi="Times New Roman" w:cs="Times New Roman"/>
                <w:lang w:eastAsia="fr-FR"/>
              </w:rPr>
              <w:t>États</w:t>
            </w:r>
            <w:r>
              <w:rPr>
                <w:rFonts w:ascii="Times New Roman" w:eastAsia="Times New Roman" w:hAnsi="Times New Roman" w:cs="Times New Roman"/>
                <w:lang w:eastAsia="fr-FR"/>
              </w:rPr>
              <w:t xml:space="preserve"> membres (6 + Danemark, Grèce, Portugal, Pays-Bas, Royaume-Uni, Irlande) </w:t>
            </w:r>
          </w:p>
          <w:p w14:paraId="32E59242" w14:textId="23114010" w:rsidR="00BD625D" w:rsidRPr="00BD625D" w:rsidRDefault="006D0FDA" w:rsidP="00BD625D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lang w:eastAsia="fr-FR"/>
              </w:rPr>
            </w:pPr>
            <w:r w:rsidRPr="00BD625D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3 piliers</w:t>
            </w:r>
            <w:r w:rsidRPr="00BD625D">
              <w:rPr>
                <w:rFonts w:ascii="Times New Roman" w:eastAsia="Times New Roman" w:hAnsi="Times New Roman" w:cs="Times New Roman"/>
                <w:lang w:eastAsia="fr-FR"/>
              </w:rPr>
              <w:t> : Communautés européennes, PESC, ELSJ</w:t>
            </w:r>
          </w:p>
        </w:tc>
      </w:tr>
    </w:tbl>
    <w:p w14:paraId="06CA8830" w14:textId="77777777" w:rsidR="006D0FDA" w:rsidRDefault="006D0FDA" w:rsidP="00BD625D">
      <w:pPr>
        <w:spacing w:line="276" w:lineRule="auto"/>
        <w:rPr>
          <w:rFonts w:ascii="Times New Roman" w:eastAsia="Times New Roman" w:hAnsi="Times New Roman" w:cs="Times New Roman"/>
          <w:lang w:eastAsia="fr-FR"/>
        </w:rPr>
      </w:pPr>
    </w:p>
    <w:p w14:paraId="3AF8E44C" w14:textId="77777777" w:rsidR="006D0FDA" w:rsidRDefault="006D0FDA" w:rsidP="00BD625D">
      <w:pPr>
        <w:spacing w:line="276" w:lineRule="auto"/>
        <w:rPr>
          <w:rFonts w:ascii="Times New Roman" w:eastAsia="Times New Roman" w:hAnsi="Times New Roman" w:cs="Times New Roman"/>
          <w:lang w:eastAsia="fr-FR"/>
        </w:rPr>
      </w:pPr>
    </w:p>
    <w:p w14:paraId="36267589" w14:textId="77777777" w:rsidR="006D0FDA" w:rsidRDefault="006D0FDA" w:rsidP="00BD625D">
      <w:pPr>
        <w:spacing w:line="276" w:lineRule="auto"/>
        <w:rPr>
          <w:rFonts w:ascii="Times New Roman" w:eastAsia="Times New Roman" w:hAnsi="Times New Roman" w:cs="Times New Roman"/>
          <w:lang w:eastAsia="fr-FR"/>
        </w:rPr>
      </w:pPr>
    </w:p>
    <w:p w14:paraId="1DB3528E" w14:textId="77777777" w:rsidR="006D0FDA" w:rsidRDefault="006D0FDA" w:rsidP="00BD625D">
      <w:pPr>
        <w:spacing w:line="276" w:lineRule="auto"/>
        <w:rPr>
          <w:rFonts w:ascii="Times New Roman" w:eastAsia="Times New Roman" w:hAnsi="Times New Roman" w:cs="Times New Roman"/>
          <w:lang w:eastAsia="fr-FR"/>
        </w:rPr>
      </w:pPr>
    </w:p>
    <w:p w14:paraId="29576FA0" w14:textId="3DA5B91F" w:rsidR="00B918FD" w:rsidRPr="00BD625D" w:rsidRDefault="00B918FD" w:rsidP="00BD625D">
      <w:pPr>
        <w:pStyle w:val="Paragraphedeliste"/>
        <w:numPr>
          <w:ilvl w:val="0"/>
          <w:numId w:val="6"/>
        </w:numPr>
        <w:spacing w:line="276" w:lineRule="auto"/>
        <w:jc w:val="both"/>
        <w:rPr>
          <w:rFonts w:ascii="Didot" w:eastAsia="Times New Roman" w:hAnsi="Didot" w:cs="Didot"/>
          <w:b/>
          <w:bCs/>
          <w:color w:val="002060"/>
          <w:sz w:val="26"/>
          <w:szCs w:val="26"/>
          <w:u w:val="single"/>
          <w:lang w:eastAsia="fr-FR"/>
        </w:rPr>
      </w:pPr>
      <w:r w:rsidRPr="00BD625D">
        <w:rPr>
          <w:rFonts w:ascii="Didot" w:eastAsia="Times New Roman" w:hAnsi="Didot" w:cs="Didot"/>
          <w:b/>
          <w:bCs/>
          <w:color w:val="002060"/>
          <w:sz w:val="26"/>
          <w:szCs w:val="26"/>
          <w:u w:val="single"/>
          <w:lang w:eastAsia="fr-FR"/>
        </w:rPr>
        <w:t xml:space="preserve">La </w:t>
      </w:r>
      <w:r w:rsidR="006D0FDA" w:rsidRPr="00BD625D">
        <w:rPr>
          <w:rFonts w:ascii="Didot" w:eastAsia="Times New Roman" w:hAnsi="Didot" w:cs="Didot" w:hint="cs"/>
          <w:b/>
          <w:bCs/>
          <w:color w:val="002060"/>
          <w:sz w:val="26"/>
          <w:szCs w:val="26"/>
          <w:u w:val="single"/>
          <w:lang w:eastAsia="fr-FR"/>
        </w:rPr>
        <w:t xml:space="preserve">citoyenneté européenne </w:t>
      </w:r>
    </w:p>
    <w:p w14:paraId="4071E80B" w14:textId="77777777" w:rsidR="00B918FD" w:rsidRDefault="00B918F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</w:p>
    <w:p w14:paraId="3B8F71A8" w14:textId="77777777" w:rsidR="00B918FD" w:rsidRDefault="006D0FDA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  <w:r w:rsidRPr="00B918FD">
        <w:rPr>
          <w:rFonts w:ascii="Didot" w:eastAsia="Times New Roman" w:hAnsi="Didot" w:cs="Didot" w:hint="cs"/>
          <w:lang w:eastAsia="fr-FR"/>
        </w:rPr>
        <w:t>Cette citoyenneté donne accès à de nouveaux droits</w:t>
      </w:r>
      <w:r w:rsidR="00B918FD">
        <w:rPr>
          <w:rFonts w:ascii="Didot" w:eastAsia="Times New Roman" w:hAnsi="Didot" w:cs="Didot"/>
          <w:lang w:eastAsia="fr-FR"/>
        </w:rPr>
        <w:t xml:space="preserve"> : </w:t>
      </w:r>
    </w:p>
    <w:p w14:paraId="4075177C" w14:textId="58D73257" w:rsidR="00B918FD" w:rsidRDefault="00B918FD" w:rsidP="00BD625D">
      <w:pPr>
        <w:pStyle w:val="Paragraphedeliste"/>
        <w:numPr>
          <w:ilvl w:val="0"/>
          <w:numId w:val="5"/>
        </w:numPr>
        <w:spacing w:line="276" w:lineRule="auto"/>
        <w:jc w:val="both"/>
        <w:rPr>
          <w:rFonts w:ascii="Didot" w:eastAsia="Times New Roman" w:hAnsi="Didot" w:cs="Didot"/>
          <w:lang w:eastAsia="fr-FR"/>
        </w:rPr>
      </w:pPr>
      <w:r w:rsidRPr="00B918FD">
        <w:rPr>
          <w:rFonts w:ascii="Didot" w:eastAsia="Times New Roman" w:hAnsi="Didot" w:cs="Didot"/>
          <w:lang w:eastAsia="fr-FR"/>
        </w:rPr>
        <w:t>Le</w:t>
      </w:r>
      <w:r w:rsidR="006D0FDA" w:rsidRPr="00B918FD">
        <w:rPr>
          <w:rFonts w:ascii="Didot" w:eastAsia="Times New Roman" w:hAnsi="Didot" w:cs="Didot" w:hint="cs"/>
          <w:lang w:eastAsia="fr-FR"/>
        </w:rPr>
        <w:t xml:space="preserve"> droit de vote aux élections locales et européennes</w:t>
      </w:r>
    </w:p>
    <w:p w14:paraId="54093B78" w14:textId="2D276FC1" w:rsidR="00B918FD" w:rsidRDefault="00B918FD" w:rsidP="00BD625D">
      <w:pPr>
        <w:pStyle w:val="Paragraphedeliste"/>
        <w:numPr>
          <w:ilvl w:val="0"/>
          <w:numId w:val="5"/>
        </w:numPr>
        <w:spacing w:line="276" w:lineRule="auto"/>
        <w:jc w:val="both"/>
        <w:rPr>
          <w:rFonts w:ascii="Didot" w:eastAsia="Times New Roman" w:hAnsi="Didot" w:cs="Didot"/>
          <w:lang w:eastAsia="fr-FR"/>
        </w:rPr>
      </w:pPr>
      <w:r w:rsidRPr="00B918FD">
        <w:rPr>
          <w:rFonts w:ascii="Didot" w:eastAsia="Times New Roman" w:hAnsi="Didot" w:cs="Didot"/>
          <w:lang w:eastAsia="fr-FR"/>
        </w:rPr>
        <w:t>Le</w:t>
      </w:r>
      <w:r w:rsidR="006D0FDA" w:rsidRPr="00B918FD">
        <w:rPr>
          <w:rFonts w:ascii="Didot" w:eastAsia="Times New Roman" w:hAnsi="Didot" w:cs="Didot" w:hint="cs"/>
          <w:lang w:eastAsia="fr-FR"/>
        </w:rPr>
        <w:t xml:space="preserve"> droit de circuler li</w:t>
      </w:r>
      <w:r>
        <w:rPr>
          <w:rFonts w:ascii="Didot" w:eastAsia="Times New Roman" w:hAnsi="Didot" w:cs="Didot"/>
          <w:lang w:eastAsia="fr-FR"/>
        </w:rPr>
        <w:t>brement et de se déplacer pour travailler dans un autre EM (</w:t>
      </w:r>
      <w:r w:rsidRPr="00B918FD">
        <w:rPr>
          <w:rFonts w:ascii="Didot" w:eastAsia="Times New Roman" w:hAnsi="Didot" w:cs="Didot"/>
          <w:color w:val="BF8F00" w:themeColor="accent4" w:themeShade="BF"/>
          <w:lang w:eastAsia="fr-FR"/>
        </w:rPr>
        <w:t>Marché Intérieur</w:t>
      </w:r>
      <w:r>
        <w:rPr>
          <w:rFonts w:ascii="Didot" w:eastAsia="Times New Roman" w:hAnsi="Didot" w:cs="Didot"/>
          <w:lang w:eastAsia="fr-FR"/>
        </w:rPr>
        <w:t>)</w:t>
      </w:r>
    </w:p>
    <w:p w14:paraId="36FDF813" w14:textId="311AFDBC" w:rsidR="00B918FD" w:rsidRDefault="00B918FD" w:rsidP="00BD625D">
      <w:pPr>
        <w:pStyle w:val="Paragraphedeliste"/>
        <w:numPr>
          <w:ilvl w:val="0"/>
          <w:numId w:val="5"/>
        </w:numPr>
        <w:spacing w:line="276" w:lineRule="auto"/>
        <w:jc w:val="both"/>
        <w:rPr>
          <w:rFonts w:ascii="Didot" w:eastAsia="Times New Roman" w:hAnsi="Didot" w:cs="Didot"/>
          <w:lang w:eastAsia="fr-FR"/>
        </w:rPr>
      </w:pPr>
      <w:r>
        <w:rPr>
          <w:rFonts w:ascii="Didot" w:eastAsia="Times New Roman" w:hAnsi="Didot" w:cs="Didot"/>
          <w:lang w:eastAsia="fr-FR"/>
        </w:rPr>
        <w:t>L</w:t>
      </w:r>
      <w:r w:rsidRPr="00B918FD">
        <w:rPr>
          <w:rFonts w:ascii="Didot" w:eastAsia="Times New Roman" w:hAnsi="Didot" w:cs="Didot" w:hint="cs"/>
          <w:lang w:eastAsia="fr-FR"/>
        </w:rPr>
        <w:t>e droit de pétition devant le Parlement européen</w:t>
      </w:r>
    </w:p>
    <w:p w14:paraId="46582A99" w14:textId="70254C50" w:rsidR="006D0FDA" w:rsidRPr="006D0FDA" w:rsidRDefault="006D0FDA" w:rsidP="00BD625D">
      <w:pPr>
        <w:spacing w:line="276" w:lineRule="auto"/>
        <w:jc w:val="both"/>
        <w:rPr>
          <w:rFonts w:ascii="Didot" w:hAnsi="Didot" w:cs="Didot"/>
        </w:rPr>
      </w:pPr>
    </w:p>
    <w:p w14:paraId="0BC4DA00" w14:textId="77777777" w:rsidR="00B918FD" w:rsidRDefault="00B918F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</w:p>
    <w:p w14:paraId="15490E5C" w14:textId="69A62E2D" w:rsidR="00B918FD" w:rsidRPr="00BD625D" w:rsidRDefault="00B918FD" w:rsidP="00BD625D">
      <w:pPr>
        <w:pStyle w:val="Paragraphedeliste"/>
        <w:numPr>
          <w:ilvl w:val="0"/>
          <w:numId w:val="6"/>
        </w:numPr>
        <w:spacing w:line="276" w:lineRule="auto"/>
        <w:jc w:val="both"/>
        <w:rPr>
          <w:rFonts w:ascii="Didot" w:eastAsia="Times New Roman" w:hAnsi="Didot" w:cs="Didot"/>
          <w:b/>
          <w:bCs/>
          <w:color w:val="002060"/>
          <w:sz w:val="26"/>
          <w:szCs w:val="26"/>
          <w:u w:val="single"/>
          <w:lang w:eastAsia="fr-FR"/>
        </w:rPr>
      </w:pPr>
      <w:r w:rsidRPr="00BD625D">
        <w:rPr>
          <w:rFonts w:ascii="Didot" w:eastAsia="Times New Roman" w:hAnsi="Didot" w:cs="Didot"/>
          <w:b/>
          <w:bCs/>
          <w:color w:val="002060"/>
          <w:sz w:val="26"/>
          <w:szCs w:val="26"/>
          <w:u w:val="single"/>
          <w:lang w:eastAsia="fr-FR"/>
        </w:rPr>
        <w:t>Une union économique et monétaire</w:t>
      </w:r>
    </w:p>
    <w:p w14:paraId="2EB8A8A1" w14:textId="77777777" w:rsidR="00B918FD" w:rsidRPr="00B918FD" w:rsidRDefault="00B918F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</w:p>
    <w:p w14:paraId="7D29EDB8" w14:textId="77777777" w:rsidR="00B918FD" w:rsidRPr="00B918FD" w:rsidRDefault="00B918F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  <w:r w:rsidRPr="00B918FD">
        <w:rPr>
          <w:rFonts w:ascii="Didot" w:eastAsia="Times New Roman" w:hAnsi="Didot" w:cs="Didot"/>
          <w:lang w:eastAsia="fr-FR"/>
        </w:rPr>
        <w:t xml:space="preserve">La décision de créer une monnaie unique au 1er janvier 1999, sous l’égide d’une </w:t>
      </w:r>
      <w:r w:rsidRPr="00B918FD">
        <w:rPr>
          <w:rFonts w:ascii="Didot" w:eastAsia="Times New Roman" w:hAnsi="Didot" w:cs="Didot"/>
          <w:b/>
          <w:bCs/>
          <w:lang w:eastAsia="fr-FR"/>
        </w:rPr>
        <w:t>Banque centrale européenne</w:t>
      </w:r>
      <w:r w:rsidRPr="00B918FD">
        <w:rPr>
          <w:rFonts w:ascii="Didot" w:eastAsia="Times New Roman" w:hAnsi="Didot" w:cs="Didot"/>
          <w:lang w:eastAsia="fr-FR"/>
        </w:rPr>
        <w:t xml:space="preserve">, parachève </w:t>
      </w:r>
      <w:r w:rsidRPr="00B918FD">
        <w:rPr>
          <w:rFonts w:ascii="Didot" w:eastAsia="Times New Roman" w:hAnsi="Didot" w:cs="Didot"/>
          <w:color w:val="BF8F00" w:themeColor="accent4" w:themeShade="BF"/>
          <w:lang w:eastAsia="fr-FR"/>
        </w:rPr>
        <w:t>l’intégration économique et monétaire au sein du marché unique</w:t>
      </w:r>
      <w:r w:rsidRPr="00B918FD">
        <w:rPr>
          <w:rFonts w:ascii="Didot" w:eastAsia="Times New Roman" w:hAnsi="Didot" w:cs="Didot"/>
          <w:lang w:eastAsia="fr-FR"/>
        </w:rPr>
        <w:t xml:space="preserve">. L’Union économique et monétaire (UEM) se réalise en </w:t>
      </w:r>
      <w:r w:rsidRPr="0067096D">
        <w:rPr>
          <w:rFonts w:ascii="Didot" w:eastAsia="Times New Roman" w:hAnsi="Didot" w:cs="Didot"/>
          <w:b/>
          <w:bCs/>
          <w:lang w:eastAsia="fr-FR"/>
        </w:rPr>
        <w:t>trois étapes</w:t>
      </w:r>
      <w:r w:rsidRPr="00B918FD">
        <w:rPr>
          <w:rFonts w:ascii="Didot" w:eastAsia="Times New Roman" w:hAnsi="Didot" w:cs="Didot"/>
          <w:lang w:eastAsia="fr-FR"/>
        </w:rPr>
        <w:t xml:space="preserve"> :</w:t>
      </w:r>
    </w:p>
    <w:p w14:paraId="4C91A5C0" w14:textId="77777777" w:rsidR="00B918FD" w:rsidRPr="00B918FD" w:rsidRDefault="00B918F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</w:p>
    <w:p w14:paraId="17567D32" w14:textId="21098288" w:rsidR="00B918FD" w:rsidRPr="00B918FD" w:rsidRDefault="00B918FD" w:rsidP="00BD625D">
      <w:pPr>
        <w:pStyle w:val="Paragraphedeliste"/>
        <w:numPr>
          <w:ilvl w:val="0"/>
          <w:numId w:val="7"/>
        </w:numPr>
        <w:spacing w:line="276" w:lineRule="auto"/>
        <w:jc w:val="both"/>
        <w:rPr>
          <w:rFonts w:ascii="Didot" w:eastAsia="Times New Roman" w:hAnsi="Didot" w:cs="Didot"/>
          <w:lang w:eastAsia="fr-FR"/>
        </w:rPr>
      </w:pPr>
      <w:r>
        <w:rPr>
          <w:rFonts w:ascii="Didot" w:eastAsia="Times New Roman" w:hAnsi="Didot" w:cs="Didot"/>
          <w:lang w:eastAsia="fr-FR"/>
        </w:rPr>
        <w:t>D</w:t>
      </w:r>
      <w:r w:rsidR="0067096D">
        <w:rPr>
          <w:rFonts w:ascii="Didot" w:eastAsia="Times New Roman" w:hAnsi="Didot" w:cs="Didot"/>
          <w:lang w:eastAsia="fr-FR"/>
        </w:rPr>
        <w:t>e</w:t>
      </w:r>
      <w:r w:rsidRPr="00B918FD">
        <w:rPr>
          <w:rFonts w:ascii="Didot" w:eastAsia="Times New Roman" w:hAnsi="Didot" w:cs="Didot"/>
          <w:lang w:eastAsia="fr-FR"/>
        </w:rPr>
        <w:t xml:space="preserve"> 1990 </w:t>
      </w:r>
      <w:r w:rsidR="0067096D">
        <w:rPr>
          <w:rFonts w:ascii="Didot" w:eastAsia="Times New Roman" w:hAnsi="Didot" w:cs="Didot"/>
          <w:lang w:eastAsia="fr-FR"/>
        </w:rPr>
        <w:t xml:space="preserve">à </w:t>
      </w:r>
      <w:r w:rsidRPr="00B918FD">
        <w:rPr>
          <w:rFonts w:ascii="Didot" w:eastAsia="Times New Roman" w:hAnsi="Didot" w:cs="Didot"/>
          <w:lang w:eastAsia="fr-FR"/>
        </w:rPr>
        <w:t>1993</w:t>
      </w:r>
      <w:r>
        <w:rPr>
          <w:rFonts w:ascii="Didot" w:eastAsia="Times New Roman" w:hAnsi="Didot" w:cs="Didot"/>
          <w:lang w:eastAsia="fr-FR"/>
        </w:rPr>
        <w:t xml:space="preserve"> : </w:t>
      </w:r>
      <w:r w:rsidRPr="00B918FD">
        <w:rPr>
          <w:rFonts w:ascii="Didot" w:eastAsia="Times New Roman" w:hAnsi="Didot" w:cs="Didot"/>
          <w:lang w:eastAsia="fr-FR"/>
        </w:rPr>
        <w:t xml:space="preserve"> </w:t>
      </w:r>
      <w:r w:rsidR="0067096D">
        <w:rPr>
          <w:rFonts w:ascii="Didot" w:eastAsia="Times New Roman" w:hAnsi="Didot" w:cs="Didot"/>
          <w:b/>
          <w:bCs/>
          <w:lang w:eastAsia="fr-FR"/>
        </w:rPr>
        <w:t xml:space="preserve">renforcement de la coopération monétaire </w:t>
      </w:r>
      <w:r w:rsidR="0067096D" w:rsidRPr="0067096D">
        <w:rPr>
          <w:rFonts w:ascii="Didot" w:eastAsia="Times New Roman" w:hAnsi="Didot" w:cs="Didot"/>
          <w:lang w:eastAsia="fr-FR"/>
        </w:rPr>
        <w:t>(réduire l’inflation, les taux d’</w:t>
      </w:r>
      <w:proofErr w:type="spellStart"/>
      <w:r w:rsidR="0067096D" w:rsidRPr="0067096D">
        <w:rPr>
          <w:rFonts w:ascii="Didot" w:eastAsia="Times New Roman" w:hAnsi="Didot" w:cs="Didot"/>
          <w:lang w:eastAsia="fr-FR"/>
        </w:rPr>
        <w:t>interets</w:t>
      </w:r>
      <w:proofErr w:type="spellEnd"/>
      <w:r w:rsidR="0067096D" w:rsidRPr="0067096D">
        <w:rPr>
          <w:rFonts w:ascii="Didot" w:eastAsia="Times New Roman" w:hAnsi="Didot" w:cs="Didot"/>
          <w:lang w:eastAsia="fr-FR"/>
        </w:rPr>
        <w:t xml:space="preserve"> </w:t>
      </w:r>
      <w:proofErr w:type="spellStart"/>
      <w:r w:rsidR="0067096D" w:rsidRPr="0067096D">
        <w:rPr>
          <w:rFonts w:ascii="Didot" w:eastAsia="Times New Roman" w:hAnsi="Didot" w:cs="Didot"/>
          <w:lang w:eastAsia="fr-FR"/>
        </w:rPr>
        <w:t>ect</w:t>
      </w:r>
      <w:proofErr w:type="spellEnd"/>
      <w:r w:rsidR="0067096D" w:rsidRPr="0067096D">
        <w:rPr>
          <w:rFonts w:ascii="Didot" w:eastAsia="Times New Roman" w:hAnsi="Didot" w:cs="Didot"/>
          <w:lang w:eastAsia="fr-FR"/>
        </w:rPr>
        <w:t>)</w:t>
      </w:r>
    </w:p>
    <w:p w14:paraId="30DA06ED" w14:textId="383DE8B6" w:rsidR="00B918FD" w:rsidRDefault="0067096D" w:rsidP="00BD625D">
      <w:pPr>
        <w:pStyle w:val="Paragraphedeliste"/>
        <w:numPr>
          <w:ilvl w:val="0"/>
          <w:numId w:val="7"/>
        </w:numPr>
        <w:spacing w:line="276" w:lineRule="auto"/>
        <w:jc w:val="both"/>
        <w:rPr>
          <w:rFonts w:ascii="Didot" w:eastAsia="Times New Roman" w:hAnsi="Didot" w:cs="Didot"/>
          <w:lang w:eastAsia="fr-FR"/>
        </w:rPr>
      </w:pPr>
      <w:r>
        <w:rPr>
          <w:rFonts w:ascii="Didot" w:eastAsia="Times New Roman" w:hAnsi="Didot" w:cs="Didot"/>
          <w:lang w:eastAsia="fr-FR"/>
        </w:rPr>
        <w:t xml:space="preserve">De </w:t>
      </w:r>
      <w:r w:rsidR="00B918FD" w:rsidRPr="00B918FD">
        <w:rPr>
          <w:rFonts w:ascii="Didot" w:eastAsia="Times New Roman" w:hAnsi="Didot" w:cs="Didot"/>
          <w:lang w:eastAsia="fr-FR"/>
        </w:rPr>
        <w:t>1994</w:t>
      </w:r>
      <w:r>
        <w:rPr>
          <w:rFonts w:ascii="Didot" w:eastAsia="Times New Roman" w:hAnsi="Didot" w:cs="Didot"/>
          <w:lang w:eastAsia="fr-FR"/>
        </w:rPr>
        <w:t xml:space="preserve"> à 1998 : convergence des monnaies</w:t>
      </w:r>
      <w:r w:rsidR="00B918FD" w:rsidRPr="00B918FD">
        <w:rPr>
          <w:rFonts w:ascii="Didot" w:eastAsia="Times New Roman" w:hAnsi="Didot" w:cs="Didot"/>
          <w:lang w:eastAsia="fr-FR"/>
        </w:rPr>
        <w:t>,</w:t>
      </w:r>
      <w:r>
        <w:rPr>
          <w:rFonts w:ascii="Didot" w:eastAsia="Times New Roman" w:hAnsi="Didot" w:cs="Didot"/>
          <w:lang w:eastAsia="fr-FR"/>
        </w:rPr>
        <w:t xml:space="preserve"> mise en place des institutions et des réglementations</w:t>
      </w:r>
      <w:r w:rsidR="00B918FD" w:rsidRPr="00B918FD">
        <w:rPr>
          <w:rFonts w:ascii="Didot" w:eastAsia="Times New Roman" w:hAnsi="Didot" w:cs="Didot"/>
          <w:lang w:eastAsia="fr-FR"/>
        </w:rPr>
        <w:t xml:space="preserve"> instaure une coordination renforcée </w:t>
      </w:r>
      <w:r w:rsidR="00B918FD" w:rsidRPr="00B918FD">
        <w:rPr>
          <w:rFonts w:ascii="Didot" w:eastAsia="Times New Roman" w:hAnsi="Didot" w:cs="Didot"/>
          <w:b/>
          <w:bCs/>
          <w:lang w:eastAsia="fr-FR"/>
        </w:rPr>
        <w:t>préalable à l’utilisation d’une monnaie unique</w:t>
      </w:r>
      <w:r w:rsidR="00B918FD" w:rsidRPr="00B918FD">
        <w:rPr>
          <w:rFonts w:ascii="Didot" w:eastAsia="Times New Roman" w:hAnsi="Didot" w:cs="Didot"/>
          <w:lang w:eastAsia="fr-FR"/>
        </w:rPr>
        <w:t xml:space="preserve">. Le passage est préparé par </w:t>
      </w:r>
      <w:proofErr w:type="gramStart"/>
      <w:r w:rsidR="00B918FD" w:rsidRPr="00B918FD">
        <w:rPr>
          <w:rFonts w:ascii="Didot" w:eastAsia="Times New Roman" w:hAnsi="Didot" w:cs="Didot"/>
          <w:lang w:eastAsia="fr-FR"/>
        </w:rPr>
        <w:t>l</w:t>
      </w:r>
      <w:r w:rsidR="00B918FD">
        <w:rPr>
          <w:rFonts w:ascii="Didot" w:eastAsia="Times New Roman" w:hAnsi="Didot" w:cs="Didot"/>
          <w:lang w:eastAsia="fr-FR"/>
        </w:rPr>
        <w:t>’</w:t>
      </w:r>
      <w:r w:rsidR="00B918FD" w:rsidRPr="00B918FD">
        <w:rPr>
          <w:rFonts w:ascii="Didot" w:eastAsia="Times New Roman" w:hAnsi="Didot" w:cs="Didot"/>
          <w:lang w:eastAsia="fr-FR"/>
        </w:rPr>
        <w:t xml:space="preserve"> Institut</w:t>
      </w:r>
      <w:proofErr w:type="gramEnd"/>
      <w:r w:rsidR="00B918FD" w:rsidRPr="00B918FD">
        <w:rPr>
          <w:rFonts w:ascii="Didot" w:eastAsia="Times New Roman" w:hAnsi="Didot" w:cs="Didot"/>
          <w:lang w:eastAsia="fr-FR"/>
        </w:rPr>
        <w:t xml:space="preserve"> monétaire européen</w:t>
      </w:r>
      <w:r>
        <w:rPr>
          <w:rFonts w:ascii="Didot" w:eastAsia="Times New Roman" w:hAnsi="Didot" w:cs="Didot"/>
          <w:lang w:eastAsia="fr-FR"/>
        </w:rPr>
        <w:t xml:space="preserve"> qui désigne le nom de l’euro et du design des billets </w:t>
      </w:r>
      <w:proofErr w:type="spellStart"/>
      <w:r>
        <w:rPr>
          <w:rFonts w:ascii="Didot" w:eastAsia="Times New Roman" w:hAnsi="Didot" w:cs="Didot"/>
          <w:lang w:eastAsia="fr-FR"/>
        </w:rPr>
        <w:t>ect</w:t>
      </w:r>
      <w:proofErr w:type="spellEnd"/>
    </w:p>
    <w:p w14:paraId="7BCBEF57" w14:textId="358ABF6C" w:rsidR="00B918FD" w:rsidRPr="00B918FD" w:rsidRDefault="00B918FD" w:rsidP="00BD625D">
      <w:pPr>
        <w:pStyle w:val="Paragraphedeliste"/>
        <w:numPr>
          <w:ilvl w:val="0"/>
          <w:numId w:val="7"/>
        </w:numPr>
        <w:spacing w:line="276" w:lineRule="auto"/>
        <w:jc w:val="both"/>
        <w:rPr>
          <w:rFonts w:ascii="Didot" w:eastAsia="Times New Roman" w:hAnsi="Didot" w:cs="Didot"/>
          <w:b/>
          <w:bCs/>
          <w:color w:val="C00000"/>
          <w:lang w:eastAsia="fr-FR"/>
        </w:rPr>
      </w:pPr>
      <w:r w:rsidRPr="00B918FD">
        <w:rPr>
          <w:rFonts w:ascii="Didot" w:eastAsia="Times New Roman" w:hAnsi="Didot" w:cs="Didot"/>
          <w:b/>
          <w:bCs/>
          <w:color w:val="C00000"/>
          <w:lang w:eastAsia="fr-FR"/>
        </w:rPr>
        <w:t xml:space="preserve">La création d’une monnaie unique au </w:t>
      </w:r>
      <w:r w:rsidRPr="00B918FD">
        <w:rPr>
          <w:rFonts w:ascii="Didot" w:eastAsia="Times New Roman" w:hAnsi="Didot" w:cs="Didot"/>
          <w:b/>
          <w:bCs/>
          <w:color w:val="C00000"/>
          <w:u w:val="single"/>
          <w:lang w:eastAsia="fr-FR"/>
        </w:rPr>
        <w:t>1er janvier 1999</w:t>
      </w:r>
      <w:r w:rsidRPr="00B918FD">
        <w:rPr>
          <w:rFonts w:ascii="Didot" w:eastAsia="Times New Roman" w:hAnsi="Didot" w:cs="Didot"/>
          <w:b/>
          <w:bCs/>
          <w:color w:val="C00000"/>
          <w:lang w:eastAsia="fr-FR"/>
        </w:rPr>
        <w:t xml:space="preserve"> et de l’établissement d’un système européen de banques centrales regroupant </w:t>
      </w:r>
      <w:r w:rsidRPr="00B918FD">
        <w:rPr>
          <w:rFonts w:ascii="Didot" w:eastAsia="Times New Roman" w:hAnsi="Didot" w:cs="Didot"/>
          <w:b/>
          <w:bCs/>
          <w:color w:val="C00000"/>
          <w:lang w:eastAsia="fr-FR"/>
        </w:rPr>
        <w:lastRenderedPageBreak/>
        <w:t>les banques centrales nationales autour d’une Banque centrale européenne (BCE).</w:t>
      </w:r>
      <w:r w:rsidR="0067096D">
        <w:rPr>
          <w:rFonts w:ascii="Didot" w:eastAsia="Times New Roman" w:hAnsi="Didot" w:cs="Didot"/>
          <w:b/>
          <w:bCs/>
          <w:color w:val="C00000"/>
          <w:lang w:eastAsia="fr-FR"/>
        </w:rPr>
        <w:t xml:space="preserve"> Mise en circulation en 2002. </w:t>
      </w:r>
    </w:p>
    <w:p w14:paraId="59A9CB59" w14:textId="77777777" w:rsidR="00B918FD" w:rsidRPr="00B918FD" w:rsidRDefault="00B918F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</w:p>
    <w:p w14:paraId="0B9296B1" w14:textId="61EB0127" w:rsidR="00B918FD" w:rsidRDefault="00B918F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  <w:r w:rsidRPr="00B918FD">
        <w:rPr>
          <w:rFonts w:ascii="Didot" w:eastAsia="Times New Roman" w:hAnsi="Didot" w:cs="Didot"/>
          <w:lang w:eastAsia="fr-FR"/>
        </w:rPr>
        <w:t xml:space="preserve">Par la suite, notamment après l’éclatement de la crise économique et financière en 2008, d’autres réformes viendront renforcer l’architecture économique de la zone euro : </w:t>
      </w:r>
      <w:r w:rsidRPr="00BD625D">
        <w:rPr>
          <w:rFonts w:ascii="Didot" w:eastAsia="Times New Roman" w:hAnsi="Didot" w:cs="Didot"/>
          <w:b/>
          <w:bCs/>
          <w:lang w:eastAsia="fr-FR"/>
        </w:rPr>
        <w:t>semestre européen</w:t>
      </w:r>
      <w:r w:rsidRPr="00B918FD">
        <w:rPr>
          <w:rFonts w:ascii="Didot" w:eastAsia="Times New Roman" w:hAnsi="Didot" w:cs="Didot"/>
          <w:lang w:eastAsia="fr-FR"/>
        </w:rPr>
        <w:t xml:space="preserve">, </w:t>
      </w:r>
      <w:r w:rsidRPr="00BD625D">
        <w:rPr>
          <w:rFonts w:ascii="Didot" w:eastAsia="Times New Roman" w:hAnsi="Didot" w:cs="Didot"/>
          <w:b/>
          <w:bCs/>
          <w:lang w:eastAsia="fr-FR"/>
        </w:rPr>
        <w:t>union bancaire</w:t>
      </w:r>
      <w:r w:rsidRPr="00B918FD">
        <w:rPr>
          <w:rFonts w:ascii="Didot" w:eastAsia="Times New Roman" w:hAnsi="Didot" w:cs="Didot"/>
          <w:lang w:eastAsia="fr-FR"/>
        </w:rPr>
        <w:t>…</w:t>
      </w:r>
    </w:p>
    <w:p w14:paraId="046B36D2" w14:textId="632845AC" w:rsidR="00B918FD" w:rsidRDefault="00B918F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</w:p>
    <w:p w14:paraId="1B05B1B3" w14:textId="77777777" w:rsidR="00BD625D" w:rsidRDefault="00BD625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</w:p>
    <w:p w14:paraId="67DD3F0E" w14:textId="1B69B617" w:rsidR="00BD625D" w:rsidRPr="00BD625D" w:rsidRDefault="00BD625D" w:rsidP="00BD625D">
      <w:pPr>
        <w:pStyle w:val="Paragraphedeliste"/>
        <w:numPr>
          <w:ilvl w:val="0"/>
          <w:numId w:val="6"/>
        </w:numPr>
        <w:spacing w:line="276" w:lineRule="auto"/>
        <w:jc w:val="both"/>
        <w:rPr>
          <w:rFonts w:ascii="Didot" w:eastAsia="Times New Roman" w:hAnsi="Didot" w:cs="Didot"/>
          <w:b/>
          <w:bCs/>
          <w:color w:val="002060"/>
          <w:sz w:val="26"/>
          <w:szCs w:val="26"/>
          <w:u w:val="single"/>
          <w:lang w:eastAsia="fr-FR"/>
        </w:rPr>
      </w:pPr>
      <w:r w:rsidRPr="00BD625D">
        <w:rPr>
          <w:rFonts w:ascii="Didot" w:eastAsia="Times New Roman" w:hAnsi="Didot" w:cs="Didot"/>
          <w:b/>
          <w:bCs/>
          <w:color w:val="002060"/>
          <w:sz w:val="26"/>
          <w:szCs w:val="26"/>
          <w:u w:val="single"/>
          <w:lang w:eastAsia="fr-FR"/>
        </w:rPr>
        <w:t>Les compétences de la communauté s’élargissent</w:t>
      </w:r>
    </w:p>
    <w:p w14:paraId="2DC8DC4C" w14:textId="77777777" w:rsidR="00BD625D" w:rsidRPr="00BD625D" w:rsidRDefault="00BD625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</w:p>
    <w:p w14:paraId="71B07A0D" w14:textId="3EEEB6D5" w:rsidR="00BD625D" w:rsidRDefault="00BD625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  <w:r w:rsidRPr="00BD625D">
        <w:rPr>
          <w:rFonts w:ascii="Didot" w:eastAsia="Times New Roman" w:hAnsi="Didot" w:cs="Didot"/>
          <w:lang w:eastAsia="fr-FR"/>
        </w:rPr>
        <w:t xml:space="preserve">Avec le traité de Maastricht, les </w:t>
      </w:r>
      <w:r w:rsidRPr="00BD625D">
        <w:rPr>
          <w:rFonts w:ascii="Didot" w:eastAsia="Times New Roman" w:hAnsi="Didot" w:cs="Didot"/>
          <w:b/>
          <w:bCs/>
          <w:lang w:eastAsia="fr-FR"/>
        </w:rPr>
        <w:t>compétences communautaires sont étendues à de nouveaux domaines</w:t>
      </w:r>
      <w:r>
        <w:rPr>
          <w:rFonts w:ascii="Didot" w:eastAsia="Times New Roman" w:hAnsi="Didot" w:cs="Didot"/>
          <w:lang w:eastAsia="fr-FR"/>
        </w:rPr>
        <w:t xml:space="preserve"> : </w:t>
      </w:r>
    </w:p>
    <w:p w14:paraId="66E8CE9C" w14:textId="77777777" w:rsidR="00BD625D" w:rsidRDefault="00BD625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</w:p>
    <w:p w14:paraId="28E83277" w14:textId="5B9A2F79" w:rsidR="00BD625D" w:rsidRPr="00BD625D" w:rsidRDefault="00BD625D" w:rsidP="00BD625D">
      <w:pPr>
        <w:pStyle w:val="Paragraphedeliste"/>
        <w:numPr>
          <w:ilvl w:val="0"/>
          <w:numId w:val="8"/>
        </w:numPr>
        <w:spacing w:line="276" w:lineRule="auto"/>
        <w:jc w:val="both"/>
        <w:rPr>
          <w:rFonts w:ascii="Didot" w:eastAsia="Times New Roman" w:hAnsi="Didot" w:cs="Didot"/>
          <w:lang w:eastAsia="fr-FR"/>
        </w:rPr>
      </w:pPr>
      <w:r w:rsidRPr="00BD625D">
        <w:rPr>
          <w:rFonts w:ascii="Didot" w:eastAsia="Times New Roman" w:hAnsi="Didot" w:cs="Didot"/>
          <w:b/>
          <w:bCs/>
          <w:color w:val="BF8F00" w:themeColor="accent4" w:themeShade="BF"/>
          <w:lang w:eastAsia="fr-FR"/>
        </w:rPr>
        <w:t>La politique sociale</w:t>
      </w:r>
      <w:r>
        <w:rPr>
          <w:rFonts w:ascii="Didot" w:eastAsia="Times New Roman" w:hAnsi="Didot" w:cs="Didot"/>
          <w:b/>
          <w:bCs/>
          <w:color w:val="BF8F00" w:themeColor="accent4" w:themeShade="BF"/>
          <w:lang w:eastAsia="fr-FR"/>
        </w:rPr>
        <w:t> </w:t>
      </w:r>
      <w:r>
        <w:rPr>
          <w:rFonts w:ascii="Didot" w:eastAsia="Times New Roman" w:hAnsi="Didot" w:cs="Didot"/>
          <w:lang w:eastAsia="fr-FR"/>
        </w:rPr>
        <w:t>:</w:t>
      </w:r>
      <w:r w:rsidRPr="00BD625D">
        <w:rPr>
          <w:rFonts w:ascii="Didot" w:eastAsia="Times New Roman" w:hAnsi="Didot" w:cs="Didot"/>
          <w:lang w:eastAsia="fr-FR"/>
        </w:rPr>
        <w:t xml:space="preserve"> Le protocole social est annexé au traité. Ainsi, sont désormais adoptées par l’ensemble des </w:t>
      </w:r>
      <w:proofErr w:type="spellStart"/>
      <w:r w:rsidRPr="00BD625D">
        <w:rPr>
          <w:rFonts w:ascii="Didot" w:eastAsia="Times New Roman" w:hAnsi="Didot" w:cs="Didot"/>
          <w:lang w:eastAsia="fr-FR"/>
        </w:rPr>
        <w:t>Etats</w:t>
      </w:r>
      <w:proofErr w:type="spellEnd"/>
      <w:r w:rsidRPr="00BD625D">
        <w:rPr>
          <w:rFonts w:ascii="Didot" w:eastAsia="Times New Roman" w:hAnsi="Didot" w:cs="Didot"/>
          <w:lang w:eastAsia="fr-FR"/>
        </w:rPr>
        <w:t xml:space="preserve"> membres des dispositions communes sur les conditions de travail, l’égalité entre hommes et femmes, l’intégration des personnes exclues du marché du travail, la sécurité sociale…</w:t>
      </w:r>
    </w:p>
    <w:p w14:paraId="6EE4D28C" w14:textId="77777777" w:rsidR="00BD625D" w:rsidRPr="00BD625D" w:rsidRDefault="00BD625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</w:p>
    <w:p w14:paraId="5FAA22B4" w14:textId="77777777" w:rsidR="00BD625D" w:rsidRDefault="00BD625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</w:p>
    <w:p w14:paraId="72E80742" w14:textId="451C09A0" w:rsidR="00B918FD" w:rsidRPr="00BD625D" w:rsidRDefault="00BD625D" w:rsidP="00BD625D">
      <w:pPr>
        <w:pStyle w:val="Paragraphedeliste"/>
        <w:numPr>
          <w:ilvl w:val="0"/>
          <w:numId w:val="8"/>
        </w:numPr>
        <w:spacing w:line="276" w:lineRule="auto"/>
        <w:jc w:val="both"/>
        <w:rPr>
          <w:rFonts w:ascii="Didot" w:eastAsia="Times New Roman" w:hAnsi="Didot" w:cs="Didot"/>
          <w:lang w:eastAsia="fr-FR"/>
        </w:rPr>
      </w:pPr>
      <w:r w:rsidRPr="00BD625D">
        <w:rPr>
          <w:rFonts w:ascii="Didot" w:eastAsia="Times New Roman" w:hAnsi="Didot" w:cs="Didot"/>
          <w:b/>
          <w:bCs/>
          <w:color w:val="BF8F00" w:themeColor="accent4" w:themeShade="BF"/>
          <w:lang w:eastAsia="fr-FR"/>
        </w:rPr>
        <w:t>Un comité des régions</w:t>
      </w:r>
      <w:r w:rsidRPr="00BD625D">
        <w:rPr>
          <w:rFonts w:ascii="Didot" w:eastAsia="Times New Roman" w:hAnsi="Didot" w:cs="Didot"/>
          <w:lang w:eastAsia="fr-FR"/>
        </w:rPr>
        <w:t>, représentant les collectivités locales des États membres, est créé.</w:t>
      </w:r>
    </w:p>
    <w:p w14:paraId="15B7B37E" w14:textId="77777777" w:rsidR="00B918FD" w:rsidRDefault="00B918FD" w:rsidP="00BD625D">
      <w:pPr>
        <w:spacing w:line="276" w:lineRule="auto"/>
        <w:jc w:val="both"/>
        <w:rPr>
          <w:rFonts w:ascii="Didot" w:eastAsia="Times New Roman" w:hAnsi="Didot" w:cs="Didot"/>
          <w:lang w:eastAsia="fr-FR"/>
        </w:rPr>
      </w:pPr>
    </w:p>
    <w:p w14:paraId="61ED81CF" w14:textId="569B18F6" w:rsidR="006D0FDA" w:rsidRPr="006D0FDA" w:rsidRDefault="006D0FDA" w:rsidP="00BD625D">
      <w:pPr>
        <w:spacing w:line="276" w:lineRule="auto"/>
        <w:jc w:val="both"/>
        <w:rPr>
          <w:rFonts w:ascii="Didot" w:hAnsi="Didot" w:cs="Didot"/>
        </w:rPr>
      </w:pPr>
    </w:p>
    <w:p w14:paraId="171973A1" w14:textId="6BF2BCD2" w:rsidR="006D0FDA" w:rsidRDefault="006D0FDA" w:rsidP="00BD625D">
      <w:pPr>
        <w:spacing w:line="276" w:lineRule="auto"/>
      </w:pPr>
    </w:p>
    <w:p w14:paraId="383D27E2" w14:textId="6D317C05" w:rsidR="00BD625D" w:rsidRPr="0084764C" w:rsidRDefault="00BD625D" w:rsidP="00BD625D">
      <w:pPr>
        <w:pStyle w:val="Paragraphedeliste"/>
        <w:numPr>
          <w:ilvl w:val="0"/>
          <w:numId w:val="6"/>
        </w:numPr>
        <w:spacing w:line="276" w:lineRule="auto"/>
        <w:jc w:val="both"/>
        <w:rPr>
          <w:rFonts w:ascii="Didot" w:hAnsi="Didot" w:cs="Didot"/>
          <w:b/>
          <w:bCs/>
          <w:color w:val="002060"/>
          <w:sz w:val="26"/>
          <w:szCs w:val="26"/>
          <w:u w:val="single"/>
        </w:rPr>
      </w:pPr>
      <w:r w:rsidRPr="0084764C">
        <w:rPr>
          <w:rFonts w:ascii="Didot" w:hAnsi="Didot" w:cs="Didot" w:hint="cs"/>
          <w:b/>
          <w:bCs/>
          <w:color w:val="002060"/>
          <w:sz w:val="26"/>
          <w:szCs w:val="26"/>
          <w:u w:val="single"/>
        </w:rPr>
        <w:t xml:space="preserve">Politique étrangère et de </w:t>
      </w:r>
      <w:proofErr w:type="spellStart"/>
      <w:r w:rsidRPr="0084764C">
        <w:rPr>
          <w:rFonts w:ascii="Didot" w:hAnsi="Didot" w:cs="Didot" w:hint="cs"/>
          <w:b/>
          <w:bCs/>
          <w:color w:val="002060"/>
          <w:sz w:val="26"/>
          <w:szCs w:val="26"/>
          <w:u w:val="single"/>
        </w:rPr>
        <w:t>sécurite</w:t>
      </w:r>
      <w:proofErr w:type="spellEnd"/>
      <w:r w:rsidRPr="0084764C">
        <w:rPr>
          <w:rFonts w:ascii="Didot" w:hAnsi="Didot" w:cs="Didot" w:hint="cs"/>
          <w:b/>
          <w:bCs/>
          <w:color w:val="002060"/>
          <w:sz w:val="26"/>
          <w:szCs w:val="26"/>
          <w:u w:val="single"/>
        </w:rPr>
        <w:t xml:space="preserve"> commune (PESC)</w:t>
      </w:r>
    </w:p>
    <w:p w14:paraId="1D2FEAE3" w14:textId="77777777" w:rsidR="00BD625D" w:rsidRPr="00BD625D" w:rsidRDefault="00BD625D" w:rsidP="00BD625D">
      <w:pPr>
        <w:spacing w:line="276" w:lineRule="auto"/>
        <w:jc w:val="both"/>
        <w:rPr>
          <w:rFonts w:ascii="Didot" w:hAnsi="Didot" w:cs="Didot"/>
        </w:rPr>
      </w:pPr>
    </w:p>
    <w:p w14:paraId="5252BB83" w14:textId="77777777" w:rsidR="00BD625D" w:rsidRPr="00BD625D" w:rsidRDefault="00BD625D" w:rsidP="00BD625D">
      <w:pPr>
        <w:spacing w:line="276" w:lineRule="auto"/>
        <w:jc w:val="both"/>
        <w:rPr>
          <w:rFonts w:ascii="Didot" w:hAnsi="Didot" w:cs="Didot"/>
        </w:rPr>
      </w:pPr>
      <w:r w:rsidRPr="00BD625D">
        <w:rPr>
          <w:rFonts w:ascii="Didot" w:hAnsi="Didot" w:cs="Didot" w:hint="cs"/>
        </w:rPr>
        <w:t xml:space="preserve">Le “deuxième pilier” du traité de Maastricht, qui s’appuie sur le mécanisme de coopération politique institué par l’Acte unique européen, instaure une politique étrangère et de sécurité commune qui </w:t>
      </w:r>
      <w:r w:rsidRPr="00BD625D">
        <w:rPr>
          <w:rFonts w:ascii="Didot" w:hAnsi="Didot" w:cs="Didot" w:hint="cs"/>
          <w:b/>
          <w:bCs/>
        </w:rPr>
        <w:t>permet d’entreprendre des actions communes en matière de politique étrangère</w:t>
      </w:r>
      <w:r w:rsidRPr="00BD625D">
        <w:rPr>
          <w:rFonts w:ascii="Didot" w:hAnsi="Didot" w:cs="Didot" w:hint="cs"/>
        </w:rPr>
        <w:t>. La décision doit être prise à l’unanimité, les mesures d’accompagnement pouvant être prises à la majorité qualifiée.</w:t>
      </w:r>
    </w:p>
    <w:p w14:paraId="4AF08182" w14:textId="77777777" w:rsidR="00BD625D" w:rsidRPr="00BD625D" w:rsidRDefault="00BD625D" w:rsidP="00BD625D">
      <w:pPr>
        <w:spacing w:line="276" w:lineRule="auto"/>
        <w:jc w:val="both"/>
        <w:rPr>
          <w:rFonts w:ascii="Didot" w:hAnsi="Didot" w:cs="Didot"/>
        </w:rPr>
      </w:pPr>
    </w:p>
    <w:p w14:paraId="07A527CE" w14:textId="0FD684E0" w:rsidR="00BD625D" w:rsidRDefault="00BD625D" w:rsidP="00BD625D">
      <w:pPr>
        <w:spacing w:line="276" w:lineRule="auto"/>
        <w:jc w:val="both"/>
        <w:rPr>
          <w:rFonts w:ascii="Didot" w:hAnsi="Didot" w:cs="Didot"/>
        </w:rPr>
      </w:pPr>
      <w:r w:rsidRPr="00BD625D">
        <w:rPr>
          <w:rFonts w:ascii="Didot" w:hAnsi="Didot" w:cs="Didot" w:hint="cs"/>
        </w:rPr>
        <w:t xml:space="preserve">En matière de sécurité, l’Union européenne définit une politique dont l’objectif est de conduire à une défense commune, en s’appuyant sur l’acquis de l’Union de l’Europe Occidentale (UEO, fondée en 1954 et dissoute en 2011). Les </w:t>
      </w:r>
      <w:proofErr w:type="spellStart"/>
      <w:r w:rsidRPr="00BD625D">
        <w:rPr>
          <w:rFonts w:ascii="Didot" w:hAnsi="Didot" w:cs="Didot" w:hint="cs"/>
        </w:rPr>
        <w:t>Etats</w:t>
      </w:r>
      <w:proofErr w:type="spellEnd"/>
      <w:r w:rsidRPr="00BD625D">
        <w:rPr>
          <w:rFonts w:ascii="Didot" w:hAnsi="Didot" w:cs="Didot" w:hint="cs"/>
        </w:rPr>
        <w:t xml:space="preserve"> membres peuvent toutefois continuer à agir pour leur propre compte, à condition de ne pas aller à l’encontre des décisions prises en commun.</w:t>
      </w:r>
    </w:p>
    <w:p w14:paraId="33B440A5" w14:textId="77777777" w:rsidR="0084764C" w:rsidRPr="00BD625D" w:rsidRDefault="0084764C" w:rsidP="00BD625D">
      <w:pPr>
        <w:spacing w:line="276" w:lineRule="auto"/>
        <w:jc w:val="both"/>
        <w:rPr>
          <w:rFonts w:ascii="Didot" w:hAnsi="Didot" w:cs="Didot"/>
        </w:rPr>
      </w:pPr>
    </w:p>
    <w:p w14:paraId="65F4B990" w14:textId="61FCD9F9" w:rsidR="00BD625D" w:rsidRPr="0084764C" w:rsidRDefault="00BD625D" w:rsidP="00BD625D">
      <w:pPr>
        <w:pStyle w:val="Paragraphedeliste"/>
        <w:numPr>
          <w:ilvl w:val="0"/>
          <w:numId w:val="6"/>
        </w:numPr>
        <w:spacing w:line="276" w:lineRule="auto"/>
        <w:jc w:val="both"/>
        <w:rPr>
          <w:rFonts w:ascii="Didot" w:hAnsi="Didot" w:cs="Didot"/>
          <w:b/>
          <w:bCs/>
          <w:color w:val="002060"/>
          <w:sz w:val="26"/>
          <w:szCs w:val="26"/>
          <w:u w:val="single"/>
        </w:rPr>
      </w:pPr>
      <w:r w:rsidRPr="0084764C">
        <w:rPr>
          <w:rFonts w:ascii="Didot" w:hAnsi="Didot" w:cs="Didot" w:hint="cs"/>
          <w:b/>
          <w:bCs/>
          <w:color w:val="002060"/>
          <w:sz w:val="26"/>
          <w:szCs w:val="26"/>
          <w:u w:val="single"/>
        </w:rPr>
        <w:lastRenderedPageBreak/>
        <w:t>Affaires intérieures et justice</w:t>
      </w:r>
    </w:p>
    <w:p w14:paraId="787FBE33" w14:textId="77777777" w:rsidR="00BD625D" w:rsidRPr="00BD625D" w:rsidRDefault="00BD625D" w:rsidP="00BD625D">
      <w:pPr>
        <w:spacing w:line="276" w:lineRule="auto"/>
        <w:jc w:val="both"/>
        <w:rPr>
          <w:rFonts w:ascii="Didot" w:hAnsi="Didot" w:cs="Didot"/>
        </w:rPr>
      </w:pPr>
    </w:p>
    <w:p w14:paraId="0DA307A7" w14:textId="77777777" w:rsidR="0084764C" w:rsidRDefault="00BD625D" w:rsidP="00BD625D">
      <w:pPr>
        <w:spacing w:line="276" w:lineRule="auto"/>
        <w:jc w:val="both"/>
        <w:rPr>
          <w:rFonts w:ascii="Didot" w:hAnsi="Didot" w:cs="Didot"/>
        </w:rPr>
      </w:pPr>
      <w:r w:rsidRPr="00BD625D">
        <w:rPr>
          <w:rFonts w:ascii="Didot" w:hAnsi="Didot" w:cs="Didot" w:hint="cs"/>
        </w:rPr>
        <w:t xml:space="preserve">Le “troisième pilier” a été conçu pour </w:t>
      </w:r>
      <w:r w:rsidRPr="0084764C">
        <w:rPr>
          <w:rFonts w:ascii="Didot" w:hAnsi="Didot" w:cs="Didot" w:hint="cs"/>
          <w:b/>
          <w:bCs/>
        </w:rPr>
        <w:t>faciliter et rendre plus sûre la libre circulation des personnes entre les pays de l’UE</w:t>
      </w:r>
      <w:r w:rsidRPr="00BD625D">
        <w:rPr>
          <w:rFonts w:ascii="Didot" w:hAnsi="Didot" w:cs="Didot" w:hint="cs"/>
        </w:rPr>
        <w:t>. Les décisions se prennent à l’unanimité et portent sur les domaines suivants :</w:t>
      </w:r>
    </w:p>
    <w:p w14:paraId="30447CFE" w14:textId="69FB62D8" w:rsidR="0084764C" w:rsidRDefault="0084764C" w:rsidP="00BD625D">
      <w:pPr>
        <w:pStyle w:val="Paragraphedeliste"/>
        <w:numPr>
          <w:ilvl w:val="0"/>
          <w:numId w:val="9"/>
        </w:numPr>
        <w:spacing w:line="276" w:lineRule="auto"/>
        <w:jc w:val="both"/>
        <w:rPr>
          <w:rFonts w:ascii="Didot" w:hAnsi="Didot" w:cs="Didot"/>
        </w:rPr>
      </w:pPr>
      <w:r w:rsidRPr="0084764C">
        <w:rPr>
          <w:rFonts w:ascii="Didot" w:hAnsi="Didot" w:cs="Didot"/>
        </w:rPr>
        <w:t>Franchissement</w:t>
      </w:r>
      <w:r w:rsidR="00BD625D" w:rsidRPr="0084764C">
        <w:rPr>
          <w:rFonts w:ascii="Didot" w:hAnsi="Didot" w:cs="Didot" w:hint="cs"/>
        </w:rPr>
        <w:t xml:space="preserve"> des frontières extérieures de la Communauté et renforcement des contrôles </w:t>
      </w:r>
    </w:p>
    <w:p w14:paraId="509E5608" w14:textId="09940D7F" w:rsidR="0084764C" w:rsidRDefault="0084764C" w:rsidP="00BD625D">
      <w:pPr>
        <w:pStyle w:val="Paragraphedeliste"/>
        <w:numPr>
          <w:ilvl w:val="0"/>
          <w:numId w:val="9"/>
        </w:numPr>
        <w:spacing w:line="276" w:lineRule="auto"/>
        <w:jc w:val="both"/>
        <w:rPr>
          <w:rFonts w:ascii="Didot" w:hAnsi="Didot" w:cs="Didot"/>
        </w:rPr>
      </w:pPr>
      <w:r w:rsidRPr="0084764C">
        <w:rPr>
          <w:rFonts w:ascii="Didot" w:hAnsi="Didot" w:cs="Didot"/>
        </w:rPr>
        <w:t>Lutte</w:t>
      </w:r>
      <w:r w:rsidR="00BD625D" w:rsidRPr="0084764C">
        <w:rPr>
          <w:rFonts w:ascii="Didot" w:hAnsi="Didot" w:cs="Didot" w:hint="cs"/>
        </w:rPr>
        <w:t xml:space="preserve"> contre le terrorisme, la criminalité, le trafic de drogue et la fraude internationale </w:t>
      </w:r>
    </w:p>
    <w:p w14:paraId="693E7AA5" w14:textId="192BB240" w:rsidR="0084764C" w:rsidRDefault="0084764C" w:rsidP="00BD625D">
      <w:pPr>
        <w:pStyle w:val="Paragraphedeliste"/>
        <w:numPr>
          <w:ilvl w:val="0"/>
          <w:numId w:val="9"/>
        </w:numPr>
        <w:spacing w:line="276" w:lineRule="auto"/>
        <w:jc w:val="both"/>
        <w:rPr>
          <w:rFonts w:ascii="Didot" w:hAnsi="Didot" w:cs="Didot"/>
        </w:rPr>
      </w:pPr>
      <w:r w:rsidRPr="0084764C">
        <w:rPr>
          <w:rFonts w:ascii="Didot" w:hAnsi="Didot" w:cs="Didot"/>
        </w:rPr>
        <w:t>Coopération</w:t>
      </w:r>
      <w:r w:rsidR="00BD625D" w:rsidRPr="0084764C">
        <w:rPr>
          <w:rFonts w:ascii="Didot" w:hAnsi="Didot" w:cs="Didot" w:hint="cs"/>
        </w:rPr>
        <w:t xml:space="preserve"> en matière de justice pénale et civile </w:t>
      </w:r>
    </w:p>
    <w:p w14:paraId="285DFE02" w14:textId="15E7CA62" w:rsidR="0084764C" w:rsidRDefault="0084764C" w:rsidP="00BD625D">
      <w:pPr>
        <w:pStyle w:val="Paragraphedeliste"/>
        <w:numPr>
          <w:ilvl w:val="0"/>
          <w:numId w:val="9"/>
        </w:numPr>
        <w:spacing w:line="276" w:lineRule="auto"/>
        <w:jc w:val="both"/>
        <w:rPr>
          <w:rFonts w:ascii="Didot" w:hAnsi="Didot" w:cs="Didot"/>
        </w:rPr>
      </w:pPr>
      <w:r w:rsidRPr="0084764C">
        <w:rPr>
          <w:rFonts w:ascii="Didot" w:hAnsi="Didot" w:cs="Didot"/>
        </w:rPr>
        <w:t>Création</w:t>
      </w:r>
      <w:r w:rsidR="00BD625D" w:rsidRPr="0084764C">
        <w:rPr>
          <w:rFonts w:ascii="Didot" w:hAnsi="Didot" w:cs="Didot" w:hint="cs"/>
        </w:rPr>
        <w:t xml:space="preserve"> d’un Office européen de police (Europol) doté d’un système d’échange d’informations entre les polices nationales</w:t>
      </w:r>
    </w:p>
    <w:p w14:paraId="512B6A26" w14:textId="77777777" w:rsidR="0084764C" w:rsidRDefault="0084764C" w:rsidP="0084764C">
      <w:pPr>
        <w:pStyle w:val="Paragraphedeliste"/>
        <w:numPr>
          <w:ilvl w:val="0"/>
          <w:numId w:val="9"/>
        </w:numPr>
        <w:spacing w:line="276" w:lineRule="auto"/>
        <w:jc w:val="both"/>
        <w:rPr>
          <w:rFonts w:ascii="Didot" w:hAnsi="Didot" w:cs="Didot"/>
        </w:rPr>
      </w:pPr>
      <w:r w:rsidRPr="0084764C">
        <w:rPr>
          <w:rFonts w:ascii="Didot" w:hAnsi="Didot" w:cs="Didot"/>
        </w:rPr>
        <w:t>Lutte</w:t>
      </w:r>
      <w:r w:rsidR="00BD625D" w:rsidRPr="0084764C">
        <w:rPr>
          <w:rFonts w:ascii="Didot" w:hAnsi="Didot" w:cs="Didot" w:hint="cs"/>
        </w:rPr>
        <w:t xml:space="preserve"> contre l’immigration irrégulière</w:t>
      </w:r>
    </w:p>
    <w:p w14:paraId="5A42B97A" w14:textId="52CB027D" w:rsidR="006D0FDA" w:rsidRPr="0084764C" w:rsidRDefault="0084764C" w:rsidP="0084764C">
      <w:pPr>
        <w:pStyle w:val="Paragraphedeliste"/>
        <w:numPr>
          <w:ilvl w:val="0"/>
          <w:numId w:val="9"/>
        </w:numPr>
        <w:spacing w:line="276" w:lineRule="auto"/>
        <w:jc w:val="both"/>
        <w:rPr>
          <w:rFonts w:ascii="Didot" w:hAnsi="Didot" w:cs="Didot"/>
        </w:rPr>
      </w:pPr>
      <w:r w:rsidRPr="0084764C">
        <w:rPr>
          <w:rFonts w:ascii="Didot" w:hAnsi="Didot" w:cs="Didot"/>
        </w:rPr>
        <w:t>Politique</w:t>
      </w:r>
      <w:r w:rsidR="00BD625D" w:rsidRPr="0084764C">
        <w:rPr>
          <w:rFonts w:ascii="Didot" w:hAnsi="Didot" w:cs="Didot" w:hint="cs"/>
        </w:rPr>
        <w:t xml:space="preserve"> commune d’asile</w:t>
      </w:r>
    </w:p>
    <w:sectPr w:rsidR="006D0FDA" w:rsidRPr="008476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Didot">
    <w:altName w:val="﷽﷽﷽﷽﷽﷽檽畠"/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F4B43"/>
    <w:multiLevelType w:val="hybridMultilevel"/>
    <w:tmpl w:val="177EBF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B3B93"/>
    <w:multiLevelType w:val="hybridMultilevel"/>
    <w:tmpl w:val="3A04F3B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B51DE"/>
    <w:multiLevelType w:val="hybridMultilevel"/>
    <w:tmpl w:val="751658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77B47"/>
    <w:multiLevelType w:val="hybridMultilevel"/>
    <w:tmpl w:val="CB2AB3D6"/>
    <w:lvl w:ilvl="0" w:tplc="040C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47D9B"/>
    <w:multiLevelType w:val="hybridMultilevel"/>
    <w:tmpl w:val="E3A0F01E"/>
    <w:lvl w:ilvl="0" w:tplc="EF8EA31C">
      <w:start w:val="5"/>
      <w:numFmt w:val="bullet"/>
      <w:lvlText w:val="-"/>
      <w:lvlJc w:val="left"/>
      <w:pPr>
        <w:ind w:left="720" w:hanging="360"/>
      </w:pPr>
      <w:rPr>
        <w:rFonts w:ascii="Didot" w:eastAsiaTheme="minorHAnsi" w:hAnsi="Didot" w:cs="Dido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A0D23"/>
    <w:multiLevelType w:val="hybridMultilevel"/>
    <w:tmpl w:val="BBEAA9F4"/>
    <w:lvl w:ilvl="0" w:tplc="86A2842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07A73"/>
    <w:multiLevelType w:val="hybridMultilevel"/>
    <w:tmpl w:val="E23A4CE2"/>
    <w:lvl w:ilvl="0" w:tplc="040C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8C00CB"/>
    <w:multiLevelType w:val="hybridMultilevel"/>
    <w:tmpl w:val="43FCA1CC"/>
    <w:lvl w:ilvl="0" w:tplc="040C0005">
      <w:start w:val="1"/>
      <w:numFmt w:val="bullet"/>
      <w:lvlText w:val=""/>
      <w:lvlJc w:val="left"/>
      <w:pPr>
        <w:ind w:left="9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8" w15:restartNumberingAfterBreak="0">
    <w:nsid w:val="7E9912CE"/>
    <w:multiLevelType w:val="hybridMultilevel"/>
    <w:tmpl w:val="222EB1F6"/>
    <w:lvl w:ilvl="0" w:tplc="0F662FC6">
      <w:start w:val="3"/>
      <w:numFmt w:val="bullet"/>
      <w:lvlText w:val="-"/>
      <w:lvlJc w:val="left"/>
      <w:pPr>
        <w:ind w:left="720" w:hanging="360"/>
      </w:pPr>
      <w:rPr>
        <w:rFonts w:ascii="Didot" w:eastAsia="Times New Roman" w:hAnsi="Didot" w:cs="Dido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8"/>
  </w:num>
  <w:num w:numId="5">
    <w:abstractNumId w:val="3"/>
  </w:num>
  <w:num w:numId="6">
    <w:abstractNumId w:val="2"/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DA"/>
    <w:rsid w:val="0067096D"/>
    <w:rsid w:val="006D0FDA"/>
    <w:rsid w:val="0084764C"/>
    <w:rsid w:val="00B918FD"/>
    <w:rsid w:val="00BD625D"/>
    <w:rsid w:val="00D0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1FAA42"/>
  <w15:chartTrackingRefBased/>
  <w15:docId w15:val="{9E2EB658-0D81-4F4C-AC91-A22D1F74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6D0FDA"/>
    <w:rPr>
      <w:b/>
      <w:bCs/>
    </w:rPr>
  </w:style>
  <w:style w:type="paragraph" w:styleId="Paragraphedeliste">
    <w:name w:val="List Paragraph"/>
    <w:basedOn w:val="Normal"/>
    <w:uiPriority w:val="34"/>
    <w:qFormat/>
    <w:rsid w:val="006D0FDA"/>
    <w:pPr>
      <w:ind w:left="720"/>
      <w:contextualSpacing/>
    </w:pPr>
  </w:style>
  <w:style w:type="table" w:styleId="Grilledutableau">
    <w:name w:val="Table Grid"/>
    <w:basedOn w:val="TableauNormal"/>
    <w:uiPriority w:val="39"/>
    <w:rsid w:val="006D0F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41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8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591</Words>
  <Characters>3103</Characters>
  <Application>Microsoft Office Word</Application>
  <DocSecurity>0</DocSecurity>
  <Lines>53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MONAMY Shanelle</dc:creator>
  <cp:keywords/>
  <dc:description/>
  <cp:lastModifiedBy>MONAMY Shanelle</cp:lastModifiedBy>
  <cp:revision>2</cp:revision>
  <dcterms:created xsi:type="dcterms:W3CDTF">2021-04-25T13:53:00Z</dcterms:created>
  <dcterms:modified xsi:type="dcterms:W3CDTF">2021-04-26T13:45:00Z</dcterms:modified>
</cp:coreProperties>
</file>