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58A5D5" w14:textId="77777777" w:rsidR="00273A3F" w:rsidRPr="0077406F" w:rsidRDefault="00000000" w:rsidP="0077406F">
      <w:pPr>
        <w:pStyle w:val="Title"/>
        <w:spacing w:line="360" w:lineRule="auto"/>
        <w:rPr>
          <w:rFonts w:cstheme="majorHAnsi"/>
          <w:szCs w:val="22"/>
        </w:rPr>
      </w:pPr>
      <w:r w:rsidRPr="0077406F">
        <w:rPr>
          <w:rFonts w:cstheme="majorHAnsi"/>
          <w:szCs w:val="22"/>
        </w:rPr>
        <w:t>Urban Air Quality Analytics with Python</w:t>
      </w:r>
    </w:p>
    <w:p w14:paraId="52DEBB7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BDA112 Assignment 2 | Group: [number] | Members and IDs: [add details]</w:t>
      </w:r>
    </w:p>
    <w:p w14:paraId="0EFE0382" w14:textId="31900121" w:rsidR="00C36BC8" w:rsidRPr="0077406F" w:rsidRDefault="00C36BC8" w:rsidP="0077406F">
      <w:pPr>
        <w:spacing w:after="200" w:line="360" w:lineRule="auto"/>
        <w:rPr>
          <w:rFonts w:asciiTheme="majorHAnsi" w:eastAsiaTheme="majorEastAsia" w:hAnsiTheme="majorHAnsi" w:cstheme="majorHAnsi"/>
          <w:b/>
          <w:bCs/>
          <w:color w:val="76923C" w:themeColor="accent3" w:themeShade="BF"/>
          <w:sz w:val="28"/>
          <w:szCs w:val="28"/>
        </w:rPr>
      </w:pPr>
      <w:r w:rsidRPr="0077406F">
        <w:rPr>
          <w:rFonts w:asciiTheme="majorHAnsi" w:hAnsiTheme="majorHAnsi" w:cstheme="majorHAnsi"/>
          <w:color w:val="76923C" w:themeColor="accent3" w:themeShade="BF"/>
          <w:sz w:val="28"/>
        </w:rPr>
        <w:br w:type="page"/>
      </w:r>
    </w:p>
    <w:sdt>
      <w:sdtPr>
        <w:id w:val="1922825863"/>
        <w:docPartObj>
          <w:docPartGallery w:val="Table of Contents"/>
          <w:docPartUnique/>
        </w:docPartObj>
      </w:sdtPr>
      <w:sdtEndPr>
        <w:rPr>
          <w:rFonts w:ascii="Times New Roman" w:eastAsiaTheme="minorEastAsia" w:hAnsi="Times New Roman" w:cstheme="minorBidi"/>
          <w:noProof/>
          <w:color w:val="000000" w:themeColor="text1"/>
          <w:szCs w:val="22"/>
          <w:highlight w:val="yellow"/>
        </w:rPr>
      </w:sdtEndPr>
      <w:sdtContent>
        <w:p w14:paraId="4263A7FB" w14:textId="21118CA9" w:rsidR="0077406F" w:rsidRPr="00DA3DC9" w:rsidRDefault="0077406F" w:rsidP="00666EC4">
          <w:pPr>
            <w:pStyle w:val="TOCHeading"/>
            <w:spacing w:line="600" w:lineRule="auto"/>
            <w:jc w:val="center"/>
            <w:rPr>
              <w:color w:val="76923C" w:themeColor="accent3" w:themeShade="BF"/>
              <w:sz w:val="32"/>
              <w:szCs w:val="32"/>
            </w:rPr>
          </w:pPr>
          <w:r w:rsidRPr="00DA3DC9">
            <w:rPr>
              <w:color w:val="76923C" w:themeColor="accent3" w:themeShade="BF"/>
              <w:sz w:val="32"/>
              <w:szCs w:val="32"/>
            </w:rPr>
            <w:t>Table of Contents</w:t>
          </w:r>
        </w:p>
        <w:p w14:paraId="1F9C9EB3" w14:textId="083F861D" w:rsidR="00666EC4" w:rsidRPr="00666EC4" w:rsidRDefault="0077406F"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r w:rsidRPr="00DA3DC9">
            <w:rPr>
              <w:b w:val="0"/>
              <w:bCs w:val="0"/>
              <w:color w:val="000000" w:themeColor="text1"/>
              <w:highlight w:val="yellow"/>
            </w:rPr>
            <w:fldChar w:fldCharType="begin"/>
          </w:r>
          <w:r w:rsidRPr="00DA3DC9">
            <w:rPr>
              <w:color w:val="000000" w:themeColor="text1"/>
              <w:highlight w:val="yellow"/>
            </w:rPr>
            <w:instrText xml:space="preserve"> TOC \o "1-3" \h \z \u </w:instrText>
          </w:r>
          <w:r w:rsidRPr="00DA3DC9">
            <w:rPr>
              <w:b w:val="0"/>
              <w:bCs w:val="0"/>
              <w:color w:val="000000" w:themeColor="text1"/>
              <w:highlight w:val="yellow"/>
            </w:rPr>
            <w:fldChar w:fldCharType="separate"/>
          </w:r>
          <w:hyperlink w:anchor="_Toc241285187" w:history="1">
            <w:r w:rsidR="00666EC4" w:rsidRPr="00666EC4">
              <w:rPr>
                <w:rStyle w:val="Hyperlink"/>
                <w:rFonts w:cstheme="majorHAnsi"/>
                <w:noProof/>
                <w:color w:val="000000" w:themeColor="text1"/>
              </w:rPr>
              <w:t>Introduction and project objective</w:t>
            </w:r>
            <w:r w:rsidR="00666EC4" w:rsidRPr="00666EC4">
              <w:rPr>
                <w:noProof/>
                <w:webHidden/>
                <w:color w:val="000000" w:themeColor="text1"/>
              </w:rPr>
              <w:tab/>
            </w:r>
            <w:r w:rsidR="00666EC4" w:rsidRPr="00666EC4">
              <w:rPr>
                <w:noProof/>
                <w:webHidden/>
                <w:color w:val="000000" w:themeColor="text1"/>
              </w:rPr>
              <w:fldChar w:fldCharType="begin"/>
            </w:r>
            <w:r w:rsidR="00666EC4" w:rsidRPr="00666EC4">
              <w:rPr>
                <w:noProof/>
                <w:webHidden/>
                <w:color w:val="000000" w:themeColor="text1"/>
              </w:rPr>
              <w:instrText xml:space="preserve"> PAGEREF _Toc241285187 \h </w:instrText>
            </w:r>
            <w:r w:rsidR="00666EC4" w:rsidRPr="00666EC4">
              <w:rPr>
                <w:noProof/>
                <w:webHidden/>
                <w:color w:val="000000" w:themeColor="text1"/>
              </w:rPr>
            </w:r>
            <w:r w:rsidR="00666EC4" w:rsidRPr="00666EC4">
              <w:rPr>
                <w:noProof/>
                <w:webHidden/>
                <w:color w:val="000000" w:themeColor="text1"/>
              </w:rPr>
              <w:fldChar w:fldCharType="separate"/>
            </w:r>
            <w:r w:rsidR="00666EC4" w:rsidRPr="00666EC4">
              <w:rPr>
                <w:noProof/>
                <w:webHidden/>
                <w:color w:val="000000" w:themeColor="text1"/>
              </w:rPr>
              <w:t>3</w:t>
            </w:r>
            <w:r w:rsidR="00666EC4" w:rsidRPr="00666EC4">
              <w:rPr>
                <w:noProof/>
                <w:webHidden/>
                <w:color w:val="000000" w:themeColor="text1"/>
              </w:rPr>
              <w:fldChar w:fldCharType="end"/>
            </w:r>
          </w:hyperlink>
        </w:p>
        <w:p w14:paraId="56810873" w14:textId="540DFD27"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88" w:history="1">
            <w:r w:rsidRPr="00666EC4">
              <w:rPr>
                <w:rStyle w:val="Hyperlink"/>
                <w:rFonts w:cstheme="majorHAnsi"/>
                <w:noProof/>
                <w:color w:val="000000" w:themeColor="text1"/>
              </w:rPr>
              <w:t>Eval</w:t>
            </w:r>
            <w:r w:rsidRPr="00666EC4">
              <w:rPr>
                <w:rStyle w:val="Hyperlink"/>
                <w:rFonts w:cstheme="majorHAnsi"/>
                <w:noProof/>
                <w:color w:val="000000" w:themeColor="text1"/>
              </w:rPr>
              <w:t>u</w:t>
            </w:r>
            <w:r w:rsidRPr="00666EC4">
              <w:rPr>
                <w:rStyle w:val="Hyperlink"/>
                <w:rFonts w:cstheme="majorHAnsi"/>
                <w:noProof/>
                <w:color w:val="000000" w:themeColor="text1"/>
              </w:rPr>
              <w:t>ation and justification of tools</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_Toc241285188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3</w:t>
            </w:r>
            <w:r w:rsidRPr="00666EC4">
              <w:rPr>
                <w:noProof/>
                <w:webHidden/>
                <w:color w:val="000000" w:themeColor="text1"/>
              </w:rPr>
              <w:fldChar w:fldCharType="end"/>
            </w:r>
          </w:hyperlink>
        </w:p>
        <w:p w14:paraId="2F2E124C" w14:textId="512A3DCE"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89" w:history="1">
            <w:r w:rsidRPr="00666EC4">
              <w:rPr>
                <w:rStyle w:val="Hyperlink"/>
                <w:rFonts w:cstheme="majorHAnsi"/>
                <w:noProof/>
                <w:color w:val="000000" w:themeColor="text1"/>
              </w:rPr>
              <w:t>Dataset acquisition and scope</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_Toc241285189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4</w:t>
            </w:r>
            <w:r w:rsidRPr="00666EC4">
              <w:rPr>
                <w:noProof/>
                <w:webHidden/>
                <w:color w:val="000000" w:themeColor="text1"/>
              </w:rPr>
              <w:fldChar w:fldCharType="end"/>
            </w:r>
          </w:hyperlink>
        </w:p>
        <w:p w14:paraId="1580C461" w14:textId="662C1D41"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90" w:history="1">
            <w:r w:rsidRPr="00666EC4">
              <w:rPr>
                <w:rStyle w:val="Hyperlink"/>
                <w:rFonts w:cstheme="majorHAnsi"/>
                <w:noProof/>
                <w:color w:val="000000" w:themeColor="text1"/>
              </w:rPr>
              <w:t>Data quality assessment and preprocessing</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_Toc241285190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4</w:t>
            </w:r>
            <w:r w:rsidRPr="00666EC4">
              <w:rPr>
                <w:noProof/>
                <w:webHidden/>
                <w:color w:val="000000" w:themeColor="text1"/>
              </w:rPr>
              <w:fldChar w:fldCharType="end"/>
            </w:r>
          </w:hyperlink>
        </w:p>
        <w:p w14:paraId="07FA7DC1" w14:textId="3EAE1B6D"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91" w:history="1">
            <w:r w:rsidRPr="00666EC4">
              <w:rPr>
                <w:rStyle w:val="Hyperlink"/>
                <w:rFonts w:cstheme="majorHAnsi"/>
                <w:noProof/>
                <w:color w:val="000000" w:themeColor="text1"/>
              </w:rPr>
              <w:t>Exploratory data analysis and findings</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_Toc241285191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6</w:t>
            </w:r>
            <w:r w:rsidRPr="00666EC4">
              <w:rPr>
                <w:noProof/>
                <w:webHidden/>
                <w:color w:val="000000" w:themeColor="text1"/>
              </w:rPr>
              <w:fldChar w:fldCharType="end"/>
            </w:r>
          </w:hyperlink>
        </w:p>
        <w:p w14:paraId="2FB717A7" w14:textId="30341646"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92" w:history="1">
            <w:r w:rsidRPr="00666EC4">
              <w:rPr>
                <w:rStyle w:val="Hyperlink"/>
                <w:rFonts w:cstheme="majorHAnsi"/>
                <w:noProof/>
                <w:color w:val="000000" w:themeColor="text1"/>
              </w:rPr>
              <w:t>Predictive models and evaluation</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_Toc241285192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7</w:t>
            </w:r>
            <w:r w:rsidRPr="00666EC4">
              <w:rPr>
                <w:noProof/>
                <w:webHidden/>
                <w:color w:val="000000" w:themeColor="text1"/>
              </w:rPr>
              <w:fldChar w:fldCharType="end"/>
            </w:r>
          </w:hyperlink>
        </w:p>
        <w:p w14:paraId="1E132089" w14:textId="1E60239B"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93" w:history="1">
            <w:r w:rsidRPr="00666EC4">
              <w:rPr>
                <w:rStyle w:val="Hyperlink"/>
                <w:rFonts w:cstheme="majorHAnsi"/>
                <w:noProof/>
                <w:color w:val="000000" w:themeColor="text1"/>
              </w:rPr>
              <w:t>Limitations and practical recommendations</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_Toc241285193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9</w:t>
            </w:r>
            <w:r w:rsidRPr="00666EC4">
              <w:rPr>
                <w:noProof/>
                <w:webHidden/>
                <w:color w:val="000000" w:themeColor="text1"/>
              </w:rPr>
              <w:fldChar w:fldCharType="end"/>
            </w:r>
          </w:hyperlink>
        </w:p>
        <w:p w14:paraId="5ED3EA74" w14:textId="3F702565" w:rsidR="00666EC4" w:rsidRPr="00666EC4" w:rsidRDefault="00666EC4" w:rsidP="00666EC4">
          <w:pPr>
            <w:pStyle w:val="TOC1"/>
            <w:tabs>
              <w:tab w:val="right" w:leader="dot" w:pos="9016"/>
            </w:tabs>
            <w:spacing w:line="600" w:lineRule="auto"/>
            <w:rPr>
              <w:b w:val="0"/>
              <w:bCs w:val="0"/>
              <w:i w:val="0"/>
              <w:iCs w:val="0"/>
              <w:noProof/>
              <w:color w:val="000000" w:themeColor="text1"/>
              <w:kern w:val="2"/>
              <w:lang w:val="en-GB" w:eastAsia="en-GB"/>
              <w14:ligatures w14:val="standardContextual"/>
            </w:rPr>
          </w:pPr>
          <w:hyperlink w:anchor="_Toc241285194" w:history="1">
            <w:r w:rsidRPr="00666EC4">
              <w:rPr>
                <w:rStyle w:val="Hyperlink"/>
                <w:rFonts w:cstheme="majorHAnsi"/>
                <w:noProof/>
                <w:color w:val="000000" w:themeColor="text1"/>
              </w:rPr>
              <w:t>Collaboration, responsible AI and conclusion</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_Toc241285194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10</w:t>
            </w:r>
            <w:r w:rsidRPr="00666EC4">
              <w:rPr>
                <w:noProof/>
                <w:webHidden/>
                <w:color w:val="000000" w:themeColor="text1"/>
              </w:rPr>
              <w:fldChar w:fldCharType="end"/>
            </w:r>
          </w:hyperlink>
        </w:p>
        <w:p w14:paraId="02D6574F" w14:textId="51064C98" w:rsidR="00666EC4" w:rsidRPr="00666EC4" w:rsidRDefault="00666EC4" w:rsidP="00666EC4">
          <w:pPr>
            <w:pStyle w:val="TOC1"/>
            <w:tabs>
              <w:tab w:val="right" w:leader="dot" w:pos="9016"/>
            </w:tabs>
            <w:spacing w:line="600" w:lineRule="auto"/>
            <w:rPr>
              <w:b w:val="0"/>
              <w:bCs w:val="0"/>
              <w:i w:val="0"/>
              <w:iCs w:val="0"/>
              <w:noProof/>
              <w:color w:val="4F6228" w:themeColor="accent3" w:themeShade="80"/>
              <w:kern w:val="2"/>
              <w:lang w:val="en-GB" w:eastAsia="en-GB"/>
              <w14:ligatures w14:val="standardContextual"/>
            </w:rPr>
          </w:pPr>
          <w:hyperlink w:anchor="_Toc241285195" w:history="1">
            <w:r w:rsidRPr="00666EC4">
              <w:rPr>
                <w:rStyle w:val="Hyperlink"/>
                <w:rFonts w:cstheme="majorHAnsi"/>
                <w:noProof/>
                <w:color w:val="000000" w:themeColor="text1"/>
              </w:rPr>
              <w:t>References</w:t>
            </w:r>
            <w:r w:rsidRPr="00666EC4">
              <w:rPr>
                <w:noProof/>
                <w:webHidden/>
                <w:color w:val="000000" w:themeColor="text1"/>
              </w:rPr>
              <w:tab/>
            </w:r>
            <w:r w:rsidRPr="00666EC4">
              <w:rPr>
                <w:noProof/>
                <w:webHidden/>
                <w:color w:val="000000" w:themeColor="text1"/>
              </w:rPr>
              <w:fldChar w:fldCharType="begin"/>
            </w:r>
            <w:r w:rsidRPr="00666EC4">
              <w:rPr>
                <w:noProof/>
                <w:webHidden/>
                <w:color w:val="000000" w:themeColor="text1"/>
              </w:rPr>
              <w:instrText xml:space="preserve"> PAGEREF _Toc241285195 \h </w:instrText>
            </w:r>
            <w:r w:rsidRPr="00666EC4">
              <w:rPr>
                <w:noProof/>
                <w:webHidden/>
                <w:color w:val="000000" w:themeColor="text1"/>
              </w:rPr>
            </w:r>
            <w:r w:rsidRPr="00666EC4">
              <w:rPr>
                <w:noProof/>
                <w:webHidden/>
                <w:color w:val="000000" w:themeColor="text1"/>
              </w:rPr>
              <w:fldChar w:fldCharType="separate"/>
            </w:r>
            <w:r w:rsidRPr="00666EC4">
              <w:rPr>
                <w:noProof/>
                <w:webHidden/>
                <w:color w:val="000000" w:themeColor="text1"/>
              </w:rPr>
              <w:t>11</w:t>
            </w:r>
            <w:r w:rsidRPr="00666EC4">
              <w:rPr>
                <w:noProof/>
                <w:webHidden/>
                <w:color w:val="000000" w:themeColor="text1"/>
              </w:rPr>
              <w:fldChar w:fldCharType="end"/>
            </w:r>
          </w:hyperlink>
        </w:p>
        <w:p w14:paraId="0430143D" w14:textId="73E02C24" w:rsidR="0077406F" w:rsidRPr="00DA3DC9" w:rsidRDefault="0077406F" w:rsidP="00666EC4">
          <w:pPr>
            <w:spacing w:line="600" w:lineRule="auto"/>
            <w:rPr>
              <w:color w:val="000000" w:themeColor="text1"/>
            </w:rPr>
          </w:pPr>
          <w:r w:rsidRPr="00DA3DC9">
            <w:rPr>
              <w:b/>
              <w:bCs/>
              <w:noProof/>
              <w:color w:val="000000" w:themeColor="text1"/>
              <w:highlight w:val="yellow"/>
            </w:rPr>
            <w:fldChar w:fldCharType="end"/>
          </w:r>
        </w:p>
      </w:sdtContent>
    </w:sdt>
    <w:p w14:paraId="19502D9A" w14:textId="77777777" w:rsidR="0077406F" w:rsidRDefault="0077406F">
      <w:pPr>
        <w:spacing w:after="200" w:line="276" w:lineRule="auto"/>
        <w:rPr>
          <w:rFonts w:asciiTheme="majorHAnsi" w:eastAsiaTheme="majorEastAsia" w:hAnsiTheme="majorHAnsi" w:cstheme="majorHAnsi"/>
          <w:b/>
          <w:bCs/>
          <w:color w:val="76923C" w:themeColor="accent3" w:themeShade="BF"/>
          <w:sz w:val="28"/>
          <w:szCs w:val="28"/>
        </w:rPr>
      </w:pPr>
      <w:r>
        <w:rPr>
          <w:rFonts w:cstheme="majorHAnsi"/>
          <w:color w:val="76923C" w:themeColor="accent3" w:themeShade="BF"/>
          <w:sz w:val="28"/>
        </w:rPr>
        <w:br w:type="page"/>
      </w:r>
    </w:p>
    <w:p w14:paraId="4D0AD7CC" w14:textId="2B814566" w:rsidR="00C36BC8" w:rsidRPr="0077406F" w:rsidRDefault="00000000" w:rsidP="0077406F">
      <w:pPr>
        <w:pStyle w:val="Heading1"/>
        <w:spacing w:line="360" w:lineRule="auto"/>
        <w:rPr>
          <w:rFonts w:cstheme="majorHAnsi"/>
          <w:color w:val="76923C" w:themeColor="accent3" w:themeShade="BF"/>
          <w:sz w:val="28"/>
        </w:rPr>
      </w:pPr>
      <w:bookmarkStart w:id="0" w:name="_Toc241285187"/>
      <w:r w:rsidRPr="0077406F">
        <w:rPr>
          <w:rFonts w:cstheme="majorHAnsi"/>
          <w:color w:val="76923C" w:themeColor="accent3" w:themeShade="BF"/>
          <w:sz w:val="28"/>
        </w:rPr>
        <w:lastRenderedPageBreak/>
        <w:t>Introduction and project objective</w:t>
      </w:r>
      <w:bookmarkEnd w:id="0"/>
    </w:p>
    <w:p w14:paraId="6CE5BE8D" w14:textId="1E53124A" w:rsidR="002F7A43" w:rsidRPr="0077406F" w:rsidRDefault="002F7A43" w:rsidP="0077406F">
      <w:pPr>
        <w:spacing w:line="360" w:lineRule="auto"/>
        <w:rPr>
          <w:rFonts w:asciiTheme="majorHAnsi" w:hAnsiTheme="majorHAnsi" w:cstheme="majorHAnsi"/>
          <w:color w:val="76923C" w:themeColor="accent3" w:themeShade="BF"/>
          <w:sz w:val="28"/>
        </w:rPr>
      </w:pPr>
      <w:r w:rsidRPr="0077406F">
        <w:rPr>
          <w:rFonts w:asciiTheme="majorHAnsi" w:hAnsiTheme="majorHAnsi" w:cstheme="majorHAnsi"/>
        </w:rPr>
        <w:t xml:space="preserve">Environmental teams could use urban air-quality data to detect where additional monitoring efforts should be undertaken and to determine air quality patterns. The aim of this project is to examine the nitrogen dioxide (NO₂) data from a published dataset derived from OpenAQ. It investigates three weather stations and </w:t>
      </w:r>
      <w:r w:rsidR="00666EC4" w:rsidRPr="0077406F">
        <w:rPr>
          <w:rFonts w:asciiTheme="majorHAnsi" w:hAnsiTheme="majorHAnsi" w:cstheme="majorHAnsi"/>
        </w:rPr>
        <w:t>forecasts</w:t>
      </w:r>
      <w:r w:rsidRPr="0077406F">
        <w:rPr>
          <w:rFonts w:asciiTheme="majorHAnsi" w:hAnsiTheme="majorHAnsi" w:cstheme="majorHAnsi"/>
        </w:rPr>
        <w:t xml:space="preserve"> the weather condition for the next hour at the Paris station. Users: Environmental monitoring team, clear and practical example of support of Python in analysis. Personal exposure assessments and public health recommendations are not estimated or provided by the project.</w:t>
      </w:r>
    </w:p>
    <w:p w14:paraId="006CAAD5" w14:textId="2F9FAAFC"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The most important question is whether recent NO₂ readings and basic calendar data can enhance the performance of 1-hour-ahead predictions. The project also includes questions on whether the observed distributions vary between stations, the difference in readings within the hour and by day of the week, and whether the quality of the data affects the conclusions. The target is for continuous concentration in micrograms per cubic meter (µg/m³). Hence, Linear Regression and Random Forest regression models are compared to a simple persistence baseline. Success is defined as having the least average prediction error on the following period which was not used to fit or select the model.</w:t>
      </w:r>
    </w:p>
    <w:p w14:paraId="56727E3F" w14:textId="4CB47282" w:rsidR="00273A3F" w:rsidRPr="0077406F" w:rsidRDefault="00000000" w:rsidP="0077406F">
      <w:pPr>
        <w:pStyle w:val="Heading1"/>
        <w:spacing w:line="360" w:lineRule="auto"/>
        <w:rPr>
          <w:rFonts w:cstheme="majorHAnsi"/>
          <w:color w:val="76923C" w:themeColor="accent3" w:themeShade="BF"/>
          <w:sz w:val="28"/>
        </w:rPr>
      </w:pPr>
      <w:bookmarkStart w:id="1" w:name="_Toc241285188"/>
      <w:r w:rsidRPr="0077406F">
        <w:rPr>
          <w:rFonts w:cstheme="majorHAnsi"/>
          <w:color w:val="76923C" w:themeColor="accent3" w:themeShade="BF"/>
          <w:sz w:val="28"/>
        </w:rPr>
        <w:t>Evaluation and justification of tools</w:t>
      </w:r>
      <w:bookmarkEnd w:id="1"/>
    </w:p>
    <w:p w14:paraId="5528DB7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Python was chosen as its support for cleaning, charts and machine learning are all in one reproducible workflow. Jupyter presents a new way for code, written explanations and outputs to be displayed together, thus making it easier for group members and markers to follow the steps [3]. Note that if cells are run in the wrong order, old results can be held in memory. It's therefore a part of the final review to restart the kernel and run each cell. A spreadsheet might contain the small data set; however, Python allows repeated creation of a lag and easy, consistent comparisons of models.</w:t>
      </w:r>
    </w:p>
    <w:p w14:paraId="1B79053B"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The import of CSV files, conversion of dates to hours, missing value and hourly indexing and grouped summaries were performed using pandas. The labelled tables decrease chances of mixing up columns. The numeric calculations and sine and cosine features which represented the repeating daily cycle [7] were made using the NumPy library. These libraries work well with a small dataset in memory. There is no real need for a distributed platform </w:t>
      </w:r>
      <w:proofErr w:type="gramStart"/>
      <w:r w:rsidRPr="0077406F">
        <w:rPr>
          <w:rFonts w:asciiTheme="majorHAnsi" w:hAnsiTheme="majorHAnsi" w:cstheme="majorHAnsi"/>
        </w:rPr>
        <w:t>at this time</w:t>
      </w:r>
      <w:proofErr w:type="gramEnd"/>
      <w:r w:rsidRPr="0077406F">
        <w:rPr>
          <w:rFonts w:asciiTheme="majorHAnsi" w:hAnsiTheme="majorHAnsi" w:cstheme="majorHAnsi"/>
        </w:rPr>
        <w:t xml:space="preserve"> for this project.</w:t>
      </w:r>
    </w:p>
    <w:p w14:paraId="0F333CE8" w14:textId="07165B2F"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Labelled boxplots, histograms and time-series charts were chosen to be plotted using Matplotlib. scikit-learn will supply evaluation functions that are consistent across the different regression algorithms, plus regression algorithms themselves [4]– [6] that allow direct control over axes, units and figure sizes for a live dashboard. Linear Regression is simple to explain, and random forest is </w:t>
      </w:r>
      <w:r w:rsidRPr="0077406F">
        <w:rPr>
          <w:rFonts w:asciiTheme="majorHAnsi" w:hAnsiTheme="majorHAnsi" w:cstheme="majorHAnsi"/>
        </w:rPr>
        <w:lastRenderedPageBreak/>
        <w:t>opaque but works for more complex relationships. The group’s actual revisions and reviews should be documented in the dated shared versions or in the Git version. If an AI-generated file is created, it is not assumed to be a student's contribution.</w:t>
      </w:r>
    </w:p>
    <w:p w14:paraId="40B97EFE" w14:textId="1ADFBC11" w:rsidR="00273A3F" w:rsidRPr="0077406F" w:rsidRDefault="00000000" w:rsidP="0077406F">
      <w:pPr>
        <w:pStyle w:val="Heading1"/>
        <w:spacing w:line="360" w:lineRule="auto"/>
        <w:rPr>
          <w:rFonts w:cstheme="majorHAnsi"/>
          <w:color w:val="76923C" w:themeColor="accent3" w:themeShade="BF"/>
          <w:sz w:val="28"/>
        </w:rPr>
      </w:pPr>
      <w:bookmarkStart w:id="2" w:name="_Toc241285189"/>
      <w:r w:rsidRPr="0077406F">
        <w:rPr>
          <w:rFonts w:cstheme="majorHAnsi"/>
          <w:color w:val="76923C" w:themeColor="accent3" w:themeShade="BF"/>
          <w:sz w:val="28"/>
        </w:rPr>
        <w:t>Dataset acquisition and scope</w:t>
      </w:r>
      <w:bookmarkEnd w:id="2"/>
    </w:p>
    <w:p w14:paraId="21EB075C" w14:textId="77777777" w:rsidR="002F7A43" w:rsidRPr="0077406F" w:rsidRDefault="002F7A43" w:rsidP="0077406F">
      <w:pPr>
        <w:spacing w:line="360" w:lineRule="auto"/>
        <w:rPr>
          <w:rFonts w:asciiTheme="majorHAnsi" w:hAnsiTheme="majorHAnsi" w:cstheme="majorHAnsi"/>
          <w:b/>
          <w:bCs/>
        </w:rPr>
      </w:pPr>
      <w:r w:rsidRPr="0077406F">
        <w:rPr>
          <w:rFonts w:asciiTheme="majorHAnsi" w:hAnsiTheme="majorHAnsi" w:cstheme="majorHAnsi"/>
        </w:rPr>
        <w:t xml:space="preserve">It is retrieved from the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project repository on 4 September 2026 [2] and identified by pandas as an OpenAQ sample from FR04014 in Paris, BETR801 in Antwerp and London Westminster [1]. This is not a new download from OpenAQ's full data repository but a historical teaching extract. The data file has four columns (one NO₂ for each station) and 1,035 rows, which is the number of reported datetimes. It is reported to have been held from 7 May to 21 June 2019. The notebook incorporates the recovered CSV snapshot and verifies the snapshot's SHA-256 hash, which means there's no need to have a separate data file or API key.</w:t>
      </w:r>
    </w:p>
    <w:p w14:paraId="5CFF439D" w14:textId="1AF55D53" w:rsidR="00273A3F" w:rsidRPr="0077406F" w:rsidRDefault="00000000" w:rsidP="0077406F">
      <w:pPr>
        <w:pStyle w:val="Heading1"/>
        <w:spacing w:line="360" w:lineRule="auto"/>
        <w:rPr>
          <w:rFonts w:cstheme="majorHAnsi"/>
          <w:color w:val="76923C" w:themeColor="accent3" w:themeShade="BF"/>
          <w:sz w:val="28"/>
        </w:rPr>
      </w:pPr>
      <w:bookmarkStart w:id="3" w:name="_Toc241285190"/>
      <w:r w:rsidRPr="0077406F">
        <w:rPr>
          <w:rFonts w:cstheme="majorHAnsi"/>
          <w:color w:val="76923C" w:themeColor="accent3" w:themeShade="BF"/>
          <w:sz w:val="28"/>
        </w:rPr>
        <w:t>Data quality assessment and preprocessing</w:t>
      </w:r>
      <w:bookmarkEnd w:id="3"/>
    </w:p>
    <w:p w14:paraId="47D1BD7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raw file was kept separate from the cleaned table. Dates were converted to datetime values, and all three measurement columns were checked as numeric. The assessment found no exact duplicate rows, invalid dates, invalid numeric strings or negative concentrations. The code also checks for conflicting duplicate timestamps and stops for review if they occur. These checks are included even when the current file contains no such errors, because the same workflow should identify them in a later dataset.</w:t>
      </w:r>
    </w:p>
    <w:p w14:paraId="6CFF518C" w14:textId="7AD017DF"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Missing values required more attention. The original station columns contain 940 missing Antwerp cells, 31 missing Paris cells and 66 missing London cells. There are also 46 entirely absent hourly timestamps. Reindexing from the first to the last reported timestamp creates a grid of 1,081 hours. This exposes missing timestamps and makes a one-row lag equal exactly one hour. Without this step, a previous row could be several hours earlier, producing misleading forecasting features.</w:t>
      </w:r>
    </w:p>
    <w:tbl>
      <w:tblPr>
        <w:tblStyle w:val="GridTable4-Accent3"/>
        <w:tblW w:w="9104" w:type="dxa"/>
        <w:tblLayout w:type="fixed"/>
        <w:tblLook w:val="04A0" w:firstRow="1" w:lastRow="0" w:firstColumn="1" w:lastColumn="0" w:noHBand="0" w:noVBand="1"/>
      </w:tblPr>
      <w:tblGrid>
        <w:gridCol w:w="2421"/>
        <w:gridCol w:w="1715"/>
        <w:gridCol w:w="2824"/>
        <w:gridCol w:w="2144"/>
      </w:tblGrid>
      <w:tr w:rsidR="00273A3F" w:rsidRPr="0077406F" w14:paraId="46C667D5" w14:textId="77777777" w:rsidTr="000E3767">
        <w:trPr>
          <w:cnfStyle w:val="100000000000" w:firstRow="1" w:lastRow="0" w:firstColumn="0" w:lastColumn="0" w:oddVBand="0" w:evenVBand="0" w:oddHBand="0"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19E8522F"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Station</w:t>
            </w:r>
          </w:p>
        </w:tc>
        <w:tc>
          <w:tcPr>
            <w:tcW w:w="1715" w:type="dxa"/>
          </w:tcPr>
          <w:p w14:paraId="00A5A554"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Observed</w:t>
            </w:r>
          </w:p>
        </w:tc>
        <w:tc>
          <w:tcPr>
            <w:tcW w:w="2824" w:type="dxa"/>
          </w:tcPr>
          <w:p w14:paraId="6DC4293B"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Missing hours</w:t>
            </w:r>
          </w:p>
        </w:tc>
        <w:tc>
          <w:tcPr>
            <w:tcW w:w="2144" w:type="dxa"/>
          </w:tcPr>
          <w:p w14:paraId="196EB299"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Coverage</w:t>
            </w:r>
          </w:p>
        </w:tc>
      </w:tr>
      <w:tr w:rsidR="00273A3F" w:rsidRPr="0077406F" w14:paraId="6EA4E8F7"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48A1E76"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Antwerp</w:t>
            </w:r>
          </w:p>
        </w:tc>
        <w:tc>
          <w:tcPr>
            <w:tcW w:w="1715" w:type="dxa"/>
          </w:tcPr>
          <w:p w14:paraId="01BF64AC"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95</w:t>
            </w:r>
          </w:p>
        </w:tc>
        <w:tc>
          <w:tcPr>
            <w:tcW w:w="2824" w:type="dxa"/>
          </w:tcPr>
          <w:p w14:paraId="2685B8C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986</w:t>
            </w:r>
          </w:p>
        </w:tc>
        <w:tc>
          <w:tcPr>
            <w:tcW w:w="2144" w:type="dxa"/>
          </w:tcPr>
          <w:p w14:paraId="730DACA3"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8.79%</w:t>
            </w:r>
          </w:p>
        </w:tc>
      </w:tr>
      <w:tr w:rsidR="00273A3F" w:rsidRPr="0077406F" w14:paraId="10B43733" w14:textId="77777777" w:rsidTr="000E3767">
        <w:trPr>
          <w:trHeight w:val="554"/>
        </w:trPr>
        <w:tc>
          <w:tcPr>
            <w:cnfStyle w:val="001000000000" w:firstRow="0" w:lastRow="0" w:firstColumn="1" w:lastColumn="0" w:oddVBand="0" w:evenVBand="0" w:oddHBand="0" w:evenHBand="0" w:firstRowFirstColumn="0" w:firstRowLastColumn="0" w:lastRowFirstColumn="0" w:lastRowLastColumn="0"/>
            <w:tcW w:w="2421" w:type="dxa"/>
          </w:tcPr>
          <w:p w14:paraId="478A4065"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Paris</w:t>
            </w:r>
          </w:p>
        </w:tc>
        <w:tc>
          <w:tcPr>
            <w:tcW w:w="1715" w:type="dxa"/>
          </w:tcPr>
          <w:p w14:paraId="1DD5357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1004</w:t>
            </w:r>
          </w:p>
        </w:tc>
        <w:tc>
          <w:tcPr>
            <w:tcW w:w="2824" w:type="dxa"/>
          </w:tcPr>
          <w:p w14:paraId="1771CB3D"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77</w:t>
            </w:r>
          </w:p>
        </w:tc>
        <w:tc>
          <w:tcPr>
            <w:tcW w:w="2144" w:type="dxa"/>
          </w:tcPr>
          <w:p w14:paraId="038E99F0"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92.88%</w:t>
            </w:r>
          </w:p>
        </w:tc>
      </w:tr>
      <w:tr w:rsidR="00273A3F" w:rsidRPr="0077406F" w14:paraId="2D64351C" w14:textId="77777777" w:rsidTr="000E376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421" w:type="dxa"/>
          </w:tcPr>
          <w:p w14:paraId="6CB65D0B"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London</w:t>
            </w:r>
          </w:p>
        </w:tc>
        <w:tc>
          <w:tcPr>
            <w:tcW w:w="1715" w:type="dxa"/>
          </w:tcPr>
          <w:p w14:paraId="2B1C4DB5"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969</w:t>
            </w:r>
          </w:p>
        </w:tc>
        <w:tc>
          <w:tcPr>
            <w:tcW w:w="2824" w:type="dxa"/>
          </w:tcPr>
          <w:p w14:paraId="77DDE30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112</w:t>
            </w:r>
          </w:p>
        </w:tc>
        <w:tc>
          <w:tcPr>
            <w:tcW w:w="2144" w:type="dxa"/>
          </w:tcPr>
          <w:p w14:paraId="165A9DCB"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89.64%</w:t>
            </w:r>
          </w:p>
        </w:tc>
      </w:tr>
    </w:tbl>
    <w:p w14:paraId="12D7ED14" w14:textId="77777777" w:rsidR="000E3767" w:rsidRPr="0077406F" w:rsidRDefault="000E3767" w:rsidP="0077406F">
      <w:pPr>
        <w:spacing w:line="360" w:lineRule="auto"/>
        <w:rPr>
          <w:rFonts w:asciiTheme="majorHAnsi" w:hAnsiTheme="majorHAnsi" w:cstheme="majorHAnsi"/>
        </w:rPr>
      </w:pPr>
    </w:p>
    <w:p w14:paraId="4FE18621" w14:textId="19E38AFD" w:rsidR="000E3767" w:rsidRPr="0077406F" w:rsidRDefault="000E3767" w:rsidP="0077406F">
      <w:pPr>
        <w:spacing w:line="360" w:lineRule="auto"/>
        <w:jc w:val="center"/>
        <w:rPr>
          <w:rFonts w:asciiTheme="majorHAnsi" w:hAnsiTheme="majorHAnsi" w:cstheme="majorHAnsi"/>
          <w:i/>
          <w:iCs/>
          <w:color w:val="808080" w:themeColor="background1" w:themeShade="80"/>
        </w:rPr>
      </w:pPr>
      <w:r w:rsidRPr="0077406F">
        <w:rPr>
          <w:rFonts w:asciiTheme="majorHAnsi" w:hAnsiTheme="majorHAnsi" w:cstheme="majorHAnsi"/>
          <w:i/>
          <w:iCs/>
          <w:color w:val="808080" w:themeColor="background1" w:themeShade="80"/>
        </w:rPr>
        <w:t>Table 1. Observed readings and missingness on the complete hourly grid.</w:t>
      </w:r>
    </w:p>
    <w:p w14:paraId="78564E22" w14:textId="6EF6217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lastRenderedPageBreak/>
        <w:t xml:space="preserve">Paris was chosen for modelling because it has the highest coverage, as shown in Table 1. Antwerp’s many gaps make it unsuitable for the same hourly forecasting exercise. Missing readings were not replaced with zero or a </w:t>
      </w:r>
      <w:r w:rsidR="0077406F" w:rsidRPr="0077406F">
        <w:rPr>
          <w:rFonts w:asciiTheme="majorHAnsi" w:hAnsiTheme="majorHAnsi" w:cstheme="majorHAnsi"/>
        </w:rPr>
        <w:t>whole dataset</w:t>
      </w:r>
      <w:r w:rsidRPr="0077406F">
        <w:rPr>
          <w:rFonts w:asciiTheme="majorHAnsi" w:hAnsiTheme="majorHAnsi" w:cstheme="majorHAnsi"/>
        </w:rPr>
        <w:t xml:space="preserve"> mean. Either choice would invent pollution measurements and could reduce genuine variation. Instead, modelling uses only timestamps with an observed Paris target and observed readings at all required lags. This transparent complete-case approach loses information and may underrepresent disrupted </w:t>
      </w:r>
      <w:r w:rsidR="0077406F" w:rsidRPr="0077406F">
        <w:rPr>
          <w:rFonts w:asciiTheme="majorHAnsi" w:hAnsiTheme="majorHAnsi" w:cstheme="majorHAnsi"/>
        </w:rPr>
        <w:t>periods but</w:t>
      </w:r>
      <w:r w:rsidRPr="0077406F">
        <w:rPr>
          <w:rFonts w:asciiTheme="majorHAnsi" w:hAnsiTheme="majorHAnsi" w:cstheme="majorHAnsi"/>
        </w:rPr>
        <w:t xml:space="preserve"> avoids pretending that imputed targets are real observations.</w:t>
      </w:r>
    </w:p>
    <w:p w14:paraId="22005BD3"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There are seven zero readings in Paris and twelve in London. These were retained because no quality flag in this extract identifies them as errors. Likewise, the interquartile range rule flagged one Antwerp, 32 Paris and 30 London readings as unusually high or low relative to their station distributions. These are statistical flags, not proof of incorrect measurement. All flagged observations were retained because a genuine pollution episode may be an important event. The notebook separately calculates a training-only IQR check; no test-derived threshold changes the model data.</w:t>
      </w:r>
    </w:p>
    <w:p w14:paraId="02CF6FAB"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wide CSV does not include timezone metadata or the original provider quality flags. The analysis keeps timestamps on the source’s reported clock and does not call them UTC. Calendar summaries must therefore be interpreted as reported-clock patterns, not verified local rush-hour effects. Cross-station measurements are not used together as forecasting inputs. A deployment would require the original metadata and correctly aligned timezones. The snapshot hash verifies the embedded recovered CSV, rather than claiming byte-for-byte identity with upstream line endings.</w:t>
      </w:r>
    </w:p>
    <w:p w14:paraId="6AFBA792"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p w14:paraId="53586B93" w14:textId="10ED1BCF" w:rsidR="00273A3F" w:rsidRPr="0077406F" w:rsidRDefault="00000000" w:rsidP="0077406F">
      <w:pPr>
        <w:pStyle w:val="Heading1"/>
        <w:spacing w:line="360" w:lineRule="auto"/>
        <w:rPr>
          <w:rFonts w:cstheme="majorHAnsi"/>
          <w:color w:val="76923C" w:themeColor="accent3" w:themeShade="BF"/>
          <w:sz w:val="28"/>
        </w:rPr>
      </w:pPr>
      <w:bookmarkStart w:id="4" w:name="_Toc241285191"/>
      <w:r w:rsidRPr="0077406F">
        <w:rPr>
          <w:rFonts w:cstheme="majorHAnsi"/>
          <w:color w:val="76923C" w:themeColor="accent3" w:themeShade="BF"/>
          <w:sz w:val="28"/>
        </w:rPr>
        <w:lastRenderedPageBreak/>
        <w:t>Exploratory data analysis and findings</w:t>
      </w:r>
      <w:bookmarkEnd w:id="4"/>
    </w:p>
    <w:p w14:paraId="0223C797"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Paris has an observed mean of 27.74 µg/m³, a median of 24.15 and a standard deviation of 15.29. Its values range from zero to 97.00. The mean exceeds the median, and the histogram shows a longer upper tail, indicating that occasional high readings raise the average. Antwerp’s mean is 25.78 and London’s is 24.78 µg/m³. These station averages use different sets of available times, so they should not be treated as a fair ranking of the three cities.</w:t>
      </w:r>
    </w:p>
    <w:p w14:paraId="31AC8F8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drawing>
          <wp:inline distT="0" distB="0" distL="0" distR="0" wp14:anchorId="25D7B743" wp14:editId="497471B7">
            <wp:extent cx="5753100" cy="25336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754840" cy="2534416"/>
                    </a:xfrm>
                    <a:prstGeom prst="rect">
                      <a:avLst/>
                    </a:prstGeom>
                  </pic:spPr>
                </pic:pic>
              </a:graphicData>
            </a:graphic>
          </wp:inline>
        </w:drawing>
      </w:r>
    </w:p>
    <w:p w14:paraId="440ACCD7"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1. Station distributions and Paris histogram using observed values.</w:t>
      </w:r>
    </w:p>
    <w:p w14:paraId="6D6137AF"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Figure 1 shows substantial overlap between the distributions and occasional high readings at each station. The small Antwerp sample is especially important when interpreting its boxplot. A separate daily chart in the notebook includes a station-day only when at least 18 hourly readings are available. This 75% coverage rule reduces the chance of presenting a partial day as a reliable daily average. Missing days remain gaps rather than being connected by invented measurements.</w:t>
      </w:r>
    </w:p>
    <w:p w14:paraId="45A21DC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noProof/>
        </w:rPr>
        <w:drawing>
          <wp:inline distT="0" distB="0" distL="0" distR="0" wp14:anchorId="57187784" wp14:editId="7527524B">
            <wp:extent cx="5924550" cy="237172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926030" cy="2372317"/>
                    </a:xfrm>
                    <a:prstGeom prst="rect">
                      <a:avLst/>
                    </a:prstGeom>
                  </pic:spPr>
                </pic:pic>
              </a:graphicData>
            </a:graphic>
          </wp:inline>
        </w:drawing>
      </w:r>
    </w:p>
    <w:p w14:paraId="775D0FAA" w14:textId="77777777" w:rsidR="00273A3F" w:rsidRPr="0077406F" w:rsidRDefault="00000000" w:rsidP="0077406F">
      <w:pPr>
        <w:pStyle w:val="Caption"/>
        <w:spacing w:line="360" w:lineRule="auto"/>
        <w:jc w:val="center"/>
        <w:rPr>
          <w:rFonts w:asciiTheme="majorHAnsi" w:hAnsiTheme="majorHAnsi" w:cstheme="majorHAnsi"/>
          <w:color w:val="808080" w:themeColor="background1" w:themeShade="80"/>
          <w:szCs w:val="22"/>
        </w:rPr>
      </w:pPr>
      <w:r w:rsidRPr="0077406F">
        <w:rPr>
          <w:rFonts w:asciiTheme="majorHAnsi" w:hAnsiTheme="majorHAnsi" w:cstheme="majorHAnsi"/>
          <w:color w:val="808080" w:themeColor="background1" w:themeShade="80"/>
          <w:szCs w:val="22"/>
        </w:rPr>
        <w:t>Figure 2. Paris means by reported hour and weekday; counts appear in the notebook.</w:t>
      </w:r>
    </w:p>
    <w:p w14:paraId="482EEBB0"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lastRenderedPageBreak/>
        <w:t>In Figure 2, Paris has its highest reported-hour mean at 09:00, about 40.57 µg/m³, and its lowest at 16:00, about 17.77. Friday has the highest weekday mean, 32.24, while Sunday has the lowest, 24.07. These differences suggest useful calendar features, but do not prove that work schedules or traffic caused them. Weather and emissions data would be needed to investigate those explanations. The analysis covers only part of two months, so neither seasonal patterns nor long-term trends can be established.</w:t>
      </w:r>
    </w:p>
    <w:p w14:paraId="6E80EF9F" w14:textId="1C426D3F" w:rsidR="00273A3F" w:rsidRPr="0077406F" w:rsidRDefault="00000000" w:rsidP="0077406F">
      <w:pPr>
        <w:pStyle w:val="Heading1"/>
        <w:spacing w:line="360" w:lineRule="auto"/>
        <w:rPr>
          <w:rFonts w:cstheme="majorHAnsi"/>
          <w:color w:val="76923C" w:themeColor="accent3" w:themeShade="BF"/>
          <w:sz w:val="28"/>
        </w:rPr>
      </w:pPr>
      <w:bookmarkStart w:id="5" w:name="_Toc241285192"/>
      <w:r w:rsidRPr="0077406F">
        <w:rPr>
          <w:rFonts w:cstheme="majorHAnsi"/>
          <w:color w:val="76923C" w:themeColor="accent3" w:themeShade="BF"/>
          <w:sz w:val="28"/>
        </w:rPr>
        <w:t>Predictive models and evaluation</w:t>
      </w:r>
      <w:bookmarkEnd w:id="5"/>
    </w:p>
    <w:p w14:paraId="63758CBD"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Both models predict the Paris concentration at time t using readings at t−1, t−2 and t−24 hours, the sine and cosine of the reported hour, and a weekend indicator. For example, a 10:00 prediction uses the readings at 09:00, 08:00 and 10:00 the previous day. The current target is never included as an input. Sine and cosine preserve the repeating daily cycle, so midnight is close to 23:00 rather than being treated as the opposite end of an ordinary numeric scale.</w:t>
      </w:r>
    </w:p>
    <w:p w14:paraId="2FA510BE"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hourly timeline is divided chronologically: the first 60% for training, the next 20% for validation and the final 20% for testing. Removing rows with missing targets or lags leaves 595 training, 178 validation and 147 test observations, or 920 complete rows. In total, 161 grid rows are unavailable for modelling. The final eligible test observation is 19 June at 00:00, earlier than the dataset’s end because later rows lack required values. No random shuffle or future interpolation is used.</w:t>
      </w:r>
    </w:p>
    <w:p w14:paraId="6A8019F2"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Linear Regression estimates an additive relationship between the inputs and target [4]. Random Forest averages 300 regression trees, with maximum depth 8, minimum leaf size 5 and random seed 42 [5]. These settings were specified before evaluation. The persistence baseline uses the previous hourly value as its prediction. This is a useful comparison because closely spaced measurements can be similar even without machine learning. Random Forest was selected using validation MAE: 4.55</w:t>
      </w:r>
      <w:r w:rsidR="00A34528" w:rsidRPr="0077406F">
        <w:rPr>
          <w:rFonts w:asciiTheme="majorHAnsi" w:hAnsiTheme="majorHAnsi" w:cstheme="majorHAnsi"/>
        </w:rPr>
        <w:t>3</w:t>
      </w:r>
      <w:r w:rsidRPr="0077406F">
        <w:rPr>
          <w:rFonts w:asciiTheme="majorHAnsi" w:hAnsiTheme="majorHAnsi" w:cstheme="majorHAnsi"/>
        </w:rPr>
        <w:t>, compared with 4.892 for Linear Regression and 5.219 for persistence.</w:t>
      </w:r>
    </w:p>
    <w:p w14:paraId="4F703959" w14:textId="73F73B2B" w:rsidR="00273A3F" w:rsidRPr="0077406F" w:rsidRDefault="00273A3F" w:rsidP="0077406F">
      <w:pPr>
        <w:pStyle w:val="Caption"/>
        <w:spacing w:line="360" w:lineRule="auto"/>
        <w:rPr>
          <w:rFonts w:asciiTheme="majorHAnsi" w:hAnsiTheme="majorHAnsi" w:cstheme="majorHAnsi"/>
          <w:szCs w:val="22"/>
        </w:rPr>
      </w:pPr>
    </w:p>
    <w:tbl>
      <w:tblPr>
        <w:tblStyle w:val="GridTable4-Accent3"/>
        <w:tblW w:w="9159" w:type="dxa"/>
        <w:tblLayout w:type="fixed"/>
        <w:tblLook w:val="04A0" w:firstRow="1" w:lastRow="0" w:firstColumn="1" w:lastColumn="0" w:noHBand="0" w:noVBand="1"/>
      </w:tblPr>
      <w:tblGrid>
        <w:gridCol w:w="2892"/>
        <w:gridCol w:w="2232"/>
        <w:gridCol w:w="2334"/>
        <w:gridCol w:w="1701"/>
      </w:tblGrid>
      <w:tr w:rsidR="00273A3F" w:rsidRPr="0077406F" w14:paraId="30D5AD73" w14:textId="77777777" w:rsidTr="006023B3">
        <w:trPr>
          <w:cnfStyle w:val="100000000000" w:firstRow="1" w:lastRow="0" w:firstColumn="0" w:lastColumn="0" w:oddVBand="0" w:evenVBand="0" w:oddHBand="0" w:evenHBand="0" w:firstRowFirstColumn="0" w:firstRowLastColumn="0" w:lastRowFirstColumn="0" w:lastRowLastColumn="0"/>
          <w:trHeight w:val="666"/>
        </w:trPr>
        <w:tc>
          <w:tcPr>
            <w:cnfStyle w:val="001000000000" w:firstRow="0" w:lastRow="0" w:firstColumn="1" w:lastColumn="0" w:oddVBand="0" w:evenVBand="0" w:oddHBand="0" w:evenHBand="0" w:firstRowFirstColumn="0" w:firstRowLastColumn="0" w:lastRowFirstColumn="0" w:lastRowLastColumn="0"/>
            <w:tcW w:w="2892" w:type="dxa"/>
          </w:tcPr>
          <w:p w14:paraId="1F54DC68"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Model</w:t>
            </w:r>
          </w:p>
        </w:tc>
        <w:tc>
          <w:tcPr>
            <w:tcW w:w="2232" w:type="dxa"/>
          </w:tcPr>
          <w:p w14:paraId="159849CA"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MAE (µg/m³)</w:t>
            </w:r>
          </w:p>
        </w:tc>
        <w:tc>
          <w:tcPr>
            <w:tcW w:w="2334" w:type="dxa"/>
          </w:tcPr>
          <w:p w14:paraId="0E539337"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RMSE (µg/m³)</w:t>
            </w:r>
          </w:p>
        </w:tc>
        <w:tc>
          <w:tcPr>
            <w:tcW w:w="1701" w:type="dxa"/>
          </w:tcPr>
          <w:p w14:paraId="37436DBD" w14:textId="77777777" w:rsidR="00273A3F" w:rsidRPr="0077406F" w:rsidRDefault="00000000" w:rsidP="0077406F">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R²</w:t>
            </w:r>
          </w:p>
        </w:tc>
      </w:tr>
      <w:tr w:rsidR="00273A3F" w:rsidRPr="0077406F" w14:paraId="0513E7B1"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106BDAB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Persistence</w:t>
            </w:r>
          </w:p>
        </w:tc>
        <w:tc>
          <w:tcPr>
            <w:tcW w:w="2232" w:type="dxa"/>
          </w:tcPr>
          <w:p w14:paraId="14B15779"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5.684</w:t>
            </w:r>
          </w:p>
        </w:tc>
        <w:tc>
          <w:tcPr>
            <w:tcW w:w="2334" w:type="dxa"/>
          </w:tcPr>
          <w:p w14:paraId="72758602"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8.300</w:t>
            </w:r>
          </w:p>
        </w:tc>
        <w:tc>
          <w:tcPr>
            <w:tcW w:w="1701" w:type="dxa"/>
          </w:tcPr>
          <w:p w14:paraId="21A2FEC1"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0.787</w:t>
            </w:r>
          </w:p>
        </w:tc>
      </w:tr>
      <w:tr w:rsidR="00273A3F" w:rsidRPr="0077406F" w14:paraId="7C33B72D" w14:textId="77777777" w:rsidTr="006023B3">
        <w:trPr>
          <w:trHeight w:val="666"/>
        </w:trPr>
        <w:tc>
          <w:tcPr>
            <w:cnfStyle w:val="001000000000" w:firstRow="0" w:lastRow="0" w:firstColumn="1" w:lastColumn="0" w:oddVBand="0" w:evenVBand="0" w:oddHBand="0" w:evenHBand="0" w:firstRowFirstColumn="0" w:firstRowLastColumn="0" w:lastRowFirstColumn="0" w:lastRowLastColumn="0"/>
            <w:tcW w:w="2892" w:type="dxa"/>
          </w:tcPr>
          <w:p w14:paraId="67AC1FE7"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Linear Regression</w:t>
            </w:r>
          </w:p>
        </w:tc>
        <w:tc>
          <w:tcPr>
            <w:tcW w:w="2232" w:type="dxa"/>
          </w:tcPr>
          <w:p w14:paraId="5150E05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5.116</w:t>
            </w:r>
          </w:p>
        </w:tc>
        <w:tc>
          <w:tcPr>
            <w:tcW w:w="2334" w:type="dxa"/>
          </w:tcPr>
          <w:p w14:paraId="26BC753B"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7.300</w:t>
            </w:r>
          </w:p>
        </w:tc>
        <w:tc>
          <w:tcPr>
            <w:tcW w:w="1701" w:type="dxa"/>
          </w:tcPr>
          <w:p w14:paraId="26EA0E4F" w14:textId="77777777" w:rsidR="00273A3F" w:rsidRPr="0077406F" w:rsidRDefault="00000000" w:rsidP="0077406F">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0.835</w:t>
            </w:r>
          </w:p>
        </w:tc>
      </w:tr>
      <w:tr w:rsidR="00273A3F" w:rsidRPr="0077406F" w14:paraId="644CD725" w14:textId="77777777" w:rsidTr="006023B3">
        <w:trPr>
          <w:cnfStyle w:val="000000100000" w:firstRow="0" w:lastRow="0" w:firstColumn="0" w:lastColumn="0" w:oddVBand="0" w:evenVBand="0" w:oddHBand="1" w:evenHBand="0" w:firstRowFirstColumn="0" w:firstRowLastColumn="0" w:lastRowFirstColumn="0" w:lastRowLastColumn="0"/>
          <w:trHeight w:val="627"/>
        </w:trPr>
        <w:tc>
          <w:tcPr>
            <w:cnfStyle w:val="001000000000" w:firstRow="0" w:lastRow="0" w:firstColumn="1" w:lastColumn="0" w:oddVBand="0" w:evenVBand="0" w:oddHBand="0" w:evenHBand="0" w:firstRowFirstColumn="0" w:firstRowLastColumn="0" w:lastRowFirstColumn="0" w:lastRowLastColumn="0"/>
            <w:tcW w:w="2892" w:type="dxa"/>
          </w:tcPr>
          <w:p w14:paraId="67072850" w14:textId="77777777" w:rsidR="00273A3F" w:rsidRPr="0077406F" w:rsidRDefault="00000000" w:rsidP="0077406F">
            <w:pPr>
              <w:spacing w:after="0" w:line="360" w:lineRule="auto"/>
              <w:rPr>
                <w:rFonts w:asciiTheme="majorHAnsi" w:hAnsiTheme="majorHAnsi" w:cstheme="majorHAnsi"/>
              </w:rPr>
            </w:pPr>
            <w:r w:rsidRPr="0077406F">
              <w:rPr>
                <w:rFonts w:asciiTheme="majorHAnsi" w:hAnsiTheme="majorHAnsi" w:cstheme="majorHAnsi"/>
              </w:rPr>
              <w:t>Random Forest</w:t>
            </w:r>
          </w:p>
        </w:tc>
        <w:tc>
          <w:tcPr>
            <w:tcW w:w="2232" w:type="dxa"/>
          </w:tcPr>
          <w:p w14:paraId="18A285B8"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4.919</w:t>
            </w:r>
          </w:p>
        </w:tc>
        <w:tc>
          <w:tcPr>
            <w:tcW w:w="2334" w:type="dxa"/>
          </w:tcPr>
          <w:p w14:paraId="2DF0929A"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7.486</w:t>
            </w:r>
          </w:p>
        </w:tc>
        <w:tc>
          <w:tcPr>
            <w:tcW w:w="1701" w:type="dxa"/>
          </w:tcPr>
          <w:p w14:paraId="0134DE9D" w14:textId="77777777" w:rsidR="00273A3F" w:rsidRPr="0077406F" w:rsidRDefault="00000000" w:rsidP="0077406F">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77406F">
              <w:rPr>
                <w:rFonts w:asciiTheme="majorHAnsi" w:hAnsiTheme="majorHAnsi" w:cstheme="majorHAnsi"/>
              </w:rPr>
              <w:t>0.827</w:t>
            </w:r>
          </w:p>
        </w:tc>
      </w:tr>
    </w:tbl>
    <w:p w14:paraId="5C0E7645" w14:textId="77777777" w:rsidR="000473AA" w:rsidRPr="0077406F" w:rsidRDefault="000473AA" w:rsidP="0077406F">
      <w:pPr>
        <w:spacing w:line="360" w:lineRule="auto"/>
        <w:jc w:val="center"/>
        <w:rPr>
          <w:rFonts w:asciiTheme="majorHAnsi" w:hAnsiTheme="majorHAnsi" w:cstheme="majorHAnsi"/>
          <w:i/>
          <w:iCs/>
          <w:color w:val="808080" w:themeColor="background1" w:themeShade="80"/>
        </w:rPr>
      </w:pPr>
    </w:p>
    <w:p w14:paraId="108F705B" w14:textId="4822045E" w:rsidR="006023B3" w:rsidRPr="0077406F" w:rsidRDefault="000473AA" w:rsidP="0077406F">
      <w:pPr>
        <w:spacing w:line="360" w:lineRule="auto"/>
        <w:rPr>
          <w:rFonts w:asciiTheme="majorHAnsi" w:hAnsiTheme="majorHAnsi" w:cstheme="majorHAnsi"/>
        </w:rPr>
      </w:pPr>
      <w:r w:rsidRPr="0077406F">
        <w:rPr>
          <w:rFonts w:asciiTheme="majorHAnsi" w:hAnsiTheme="majorHAnsi" w:cstheme="majorHAnsi"/>
        </w:rPr>
        <w:t>Table 2. Final performance on the same 147 later test observations.</w:t>
      </w:r>
    </w:p>
    <w:p w14:paraId="72E6836D" w14:textId="330CE3E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lastRenderedPageBreak/>
        <w:t>Both fitted models were refitted on the combined training and validation data before the final test. MAE measures average absolute error, while RMSE gives greater weight to large errors. R² compares squared error with predicting the test-set mean [6]. Precision and recall are unsuitable because this task predicts concentrations rather than categories. Table 2 shows that Random Forest has the lowest test MAE, improving on persistence by 13.46%. It is preferred for the stated average-error objective, while Linear Regression has better RMSE and R². The forest is therefore not best on every measure.</w:t>
      </w:r>
    </w:p>
    <w:p w14:paraId="104CE1DD"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selected forest’s refit-training MAE is 3.73, below its test MAE of 4.92. This gap supports further checks for overfitting and changing conditions. Both models tend to miss some sharp movements, as shown by the notebook’s prediction plots. Evaluation represents rolling one-hour-ahead forecasts: each earlier actual reading is available before the next prediction. It does not represent predicting an entire week from one starting point, and statistical certainty is limited by the short test period.</w:t>
      </w:r>
    </w:p>
    <w:p w14:paraId="70819919"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p w14:paraId="36DB4EAA" w14:textId="2C838B67" w:rsidR="00273A3F" w:rsidRPr="0077406F" w:rsidRDefault="00000000" w:rsidP="0077406F">
      <w:pPr>
        <w:pStyle w:val="Heading1"/>
        <w:spacing w:line="360" w:lineRule="auto"/>
        <w:rPr>
          <w:rFonts w:cstheme="majorHAnsi"/>
          <w:color w:val="76923C" w:themeColor="accent3" w:themeShade="BF"/>
          <w:sz w:val="28"/>
        </w:rPr>
      </w:pPr>
      <w:bookmarkStart w:id="6" w:name="_Toc241285193"/>
      <w:r w:rsidRPr="0077406F">
        <w:rPr>
          <w:rFonts w:cstheme="majorHAnsi"/>
          <w:color w:val="76923C" w:themeColor="accent3" w:themeShade="BF"/>
          <w:sz w:val="28"/>
        </w:rPr>
        <w:lastRenderedPageBreak/>
        <w:t>Limitations and practical recommendations</w:t>
      </w:r>
      <w:bookmarkEnd w:id="6"/>
    </w:p>
    <w:p w14:paraId="1665AFE5"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The main limitation is representativeness. One short historical extract cannot describe current pollution conditions, a full year or all neighbourhoods in a city. Paris was chosen because of coverage, which makes the model useful for this station but does not demonstrate transfer to another location. All observations come from existing measurements rather than a controlled experiment. The reported differences are associations, and this project cannot identify which source caused a pollution increase.</w:t>
      </w:r>
    </w:p>
    <w:p w14:paraId="56199964"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Missing data can create selection bias if outages occur during unusual pollution events. Excluding incomplete targets and lags avoids fabricated values, but it does not solve this bias. The extract also lacks weather, traffic counts, emissions information and instrument quality flags. Its unspecified timezone limits calendar interpretation. Zero readings and extreme values remain uncertain until checked with the original provider. These issues should be addressed before treating the model as operational evidence.</w:t>
      </w:r>
    </w:p>
    <w:p w14:paraId="2F1E69D2"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First, the monitoring team should obtain a longer dataset with known timezones, clear station metadata and quality-control flags. It should monitor completeness by station and investigate extended gaps, especially where hourly predictions are required. The same cleaning rules should be documented and applied to future updates. High readings should be reviewed against provider records rather than automatically removed, because cleaning away genuine peaks would weaken the practical purpose of an air-quality analysis.</w:t>
      </w:r>
    </w:p>
    <w:p w14:paraId="3CCE649F"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Second, the team should extend the forecasting inputs with relevant weather and traffic information when those data are available. Only values that would be known at the prediction time should be included. Testing should then be repeated across several later periods and additional stations. Model selection should still happen before the final test is inspected. Comparing each new version with persistence will show whether the extra complexity produces a consistent practical improvement.</w:t>
      </w:r>
    </w:p>
    <w:p w14:paraId="54F6FE9A"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Third, any pilot should track both MAE and RMSE. Average accuracy matters for routine monitoring, while larger errors may matter more during sudden pollution changes. The preferred model can therefore depend on the monitoring objective. Predictions should be presented with observed readings and missingness information, rather than as certain facts. Public alerts or regulatory conclusions would require suitable standards, validated data and a much stronger evaluation than this classroom example provides.</w:t>
      </w:r>
    </w:p>
    <w:p w14:paraId="229247CB" w14:textId="047BD114" w:rsidR="00273A3F" w:rsidRPr="0077406F" w:rsidRDefault="00000000" w:rsidP="0077406F">
      <w:pPr>
        <w:pStyle w:val="Heading1"/>
        <w:spacing w:line="360" w:lineRule="auto"/>
        <w:rPr>
          <w:rFonts w:cstheme="majorHAnsi"/>
          <w:color w:val="76923C" w:themeColor="accent3" w:themeShade="BF"/>
          <w:sz w:val="28"/>
        </w:rPr>
      </w:pPr>
      <w:bookmarkStart w:id="7" w:name="_Toc241285194"/>
      <w:r w:rsidRPr="0077406F">
        <w:rPr>
          <w:rFonts w:cstheme="majorHAnsi"/>
          <w:color w:val="76923C" w:themeColor="accent3" w:themeShade="BF"/>
          <w:sz w:val="28"/>
        </w:rPr>
        <w:lastRenderedPageBreak/>
        <w:t>Collaboration, responsible AI and conclusion</w:t>
      </w:r>
      <w:bookmarkEnd w:id="7"/>
    </w:p>
    <w:p w14:paraId="60D8F529"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p w14:paraId="7E420B7E" w14:textId="77777777" w:rsidR="00273A3F" w:rsidRPr="0077406F" w:rsidRDefault="00000000" w:rsidP="0077406F">
      <w:pPr>
        <w:pStyle w:val="Heading1"/>
        <w:spacing w:line="360" w:lineRule="auto"/>
        <w:rPr>
          <w:rFonts w:cstheme="majorHAnsi"/>
          <w:color w:val="76923C" w:themeColor="accent3" w:themeShade="BF"/>
          <w:sz w:val="28"/>
        </w:rPr>
      </w:pPr>
      <w:bookmarkStart w:id="8" w:name="_Toc241285195"/>
      <w:r w:rsidRPr="0077406F">
        <w:rPr>
          <w:rFonts w:cstheme="majorHAnsi"/>
          <w:color w:val="76923C" w:themeColor="accent3" w:themeShade="BF"/>
          <w:sz w:val="28"/>
        </w:rPr>
        <w:lastRenderedPageBreak/>
        <w:t>References</w:t>
      </w:r>
      <w:bookmarkEnd w:id="8"/>
    </w:p>
    <w:p w14:paraId="46BFECAA" w14:textId="6AD11BE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[1] pandas development team, “How do I create plots in </w:t>
      </w:r>
      <w:proofErr w:type="gramStart"/>
      <w:r w:rsidRPr="0077406F">
        <w:rPr>
          <w:rFonts w:asciiTheme="majorHAnsi" w:hAnsiTheme="majorHAnsi" w:cstheme="majorHAnsi"/>
        </w:rPr>
        <w:t>pandas?.</w:t>
      </w:r>
      <w:proofErr w:type="gramEnd"/>
      <w:r w:rsidRPr="0077406F">
        <w:rPr>
          <w:rFonts w:asciiTheme="majorHAnsi" w:hAnsiTheme="majorHAnsi" w:cstheme="majorHAnsi"/>
        </w:rPr>
        <w:t xml:space="preserve">”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0" w:history="1">
        <w:r w:rsidR="00273A3F" w:rsidRPr="0077406F">
          <w:rPr>
            <w:rStyle w:val="Hyperlink"/>
            <w:rFonts w:asciiTheme="majorHAnsi" w:hAnsiTheme="majorHAnsi" w:cstheme="majorHAnsi"/>
          </w:rPr>
          <w:t>https://pandas.pydata.org/docs/getting_started/intro_tutorials/04_plotting.html</w:t>
        </w:r>
      </w:hyperlink>
    </w:p>
    <w:p w14:paraId="4BE71464" w14:textId="28F05EE2"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[2] pandas development team, “air_quality_no2.csv, pandas source repository.”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1" w:history="1">
        <w:r w:rsidR="00273A3F" w:rsidRPr="0077406F">
          <w:rPr>
            <w:rStyle w:val="Hyperlink"/>
            <w:rFonts w:asciiTheme="majorHAnsi" w:hAnsiTheme="majorHAnsi" w:cstheme="majorHAnsi"/>
          </w:rPr>
          <w:t>https://github.com/pandas-dev/pandas/blob/main/doc/data/air_quality_no2.csv</w:t>
        </w:r>
      </w:hyperlink>
    </w:p>
    <w:p w14:paraId="7B0629F9" w14:textId="193C16B4"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[3] Project Jupyter, “Project Jupyter.” Accessed: Sep. </w:t>
      </w:r>
      <w:r w:rsidR="005C658A" w:rsidRPr="0077406F">
        <w:rPr>
          <w:rFonts w:asciiTheme="majorHAnsi" w:hAnsiTheme="majorHAnsi" w:cstheme="majorHAnsi"/>
        </w:rPr>
        <w:t>20</w:t>
      </w:r>
      <w:r w:rsidRPr="0077406F">
        <w:rPr>
          <w:rFonts w:asciiTheme="majorHAnsi" w:hAnsiTheme="majorHAnsi" w:cstheme="majorHAnsi"/>
        </w:rPr>
        <w:t>, 2026. [Online]. Available: https://jupyter.org/</w:t>
      </w:r>
    </w:p>
    <w:p w14:paraId="36853A02" w14:textId="1E5C4A86"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[4] scikit-learn developers, “LinearRegression.”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2" w:history="1">
        <w:r w:rsidR="00273A3F" w:rsidRPr="0077406F">
          <w:rPr>
            <w:rStyle w:val="Hyperlink"/>
            <w:rFonts w:asciiTheme="majorHAnsi" w:hAnsiTheme="majorHAnsi" w:cstheme="majorHAnsi"/>
          </w:rPr>
          <w:t>https://scikit-learn.org/stable/modules/generated/sklearn.linear_model.LinearRegression.html</w:t>
        </w:r>
      </w:hyperlink>
    </w:p>
    <w:p w14:paraId="300F1EA4" w14:textId="06F49EF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[5] scikit-learn developers, “RandomForestRegressor.”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3" w:history="1">
        <w:r w:rsidR="00273A3F" w:rsidRPr="0077406F">
          <w:rPr>
            <w:rStyle w:val="Hyperlink"/>
            <w:rFonts w:asciiTheme="majorHAnsi" w:hAnsiTheme="majorHAnsi" w:cstheme="majorHAnsi"/>
          </w:rPr>
          <w:t>https://scikit-learn.org/stable/modules/generated/sklearn.ensemble.RandomForestRegressor.html</w:t>
        </w:r>
      </w:hyperlink>
    </w:p>
    <w:p w14:paraId="4F175118" w14:textId="06A0B3B0"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[6] scikit-learn developers, “Metrics and scoring: quantifying the quality of predictions.” Accessed: Sep. </w:t>
      </w:r>
      <w:r w:rsidR="005C658A" w:rsidRPr="0077406F">
        <w:rPr>
          <w:rFonts w:asciiTheme="majorHAnsi" w:hAnsiTheme="majorHAnsi" w:cstheme="majorHAnsi"/>
        </w:rPr>
        <w:t>20</w:t>
      </w:r>
      <w:r w:rsidRPr="0077406F">
        <w:rPr>
          <w:rFonts w:asciiTheme="majorHAnsi" w:hAnsiTheme="majorHAnsi" w:cstheme="majorHAnsi"/>
        </w:rPr>
        <w:t xml:space="preserve">, 2026. [Online]. Available: </w:t>
      </w:r>
      <w:hyperlink r:id="rId14" w:history="1">
        <w:r w:rsidR="00273A3F" w:rsidRPr="0077406F">
          <w:rPr>
            <w:rStyle w:val="Hyperlink"/>
            <w:rFonts w:asciiTheme="majorHAnsi" w:hAnsiTheme="majorHAnsi" w:cstheme="majorHAnsi"/>
          </w:rPr>
          <w:t>https://scikit-learn.org/stable/modules/model_evaluation.html</w:t>
        </w:r>
      </w:hyperlink>
    </w:p>
    <w:p w14:paraId="4C8EE58D" w14:textId="0DA67735"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[7] NumPy developers, “NumPy: the absolute basics for beginners.”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5" w:history="1">
        <w:r w:rsidR="00273A3F" w:rsidRPr="0077406F">
          <w:rPr>
            <w:rStyle w:val="Hyperlink"/>
            <w:rFonts w:asciiTheme="majorHAnsi" w:hAnsiTheme="majorHAnsi" w:cstheme="majorHAnsi"/>
          </w:rPr>
          <w:t>https://numpy.org/doc/stable/user/absolute_beginners.html</w:t>
        </w:r>
      </w:hyperlink>
    </w:p>
    <w:p w14:paraId="21093847" w14:textId="038DAF99"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t xml:space="preserve">[8] Matplotlib developers, “Quick start guide.” Accessed: Sep. </w:t>
      </w:r>
      <w:r w:rsidR="005C658A" w:rsidRPr="0077406F">
        <w:rPr>
          <w:rFonts w:asciiTheme="majorHAnsi" w:hAnsiTheme="majorHAnsi" w:cstheme="majorHAnsi"/>
        </w:rPr>
        <w:t>19</w:t>
      </w:r>
      <w:r w:rsidRPr="0077406F">
        <w:rPr>
          <w:rFonts w:asciiTheme="majorHAnsi" w:hAnsiTheme="majorHAnsi" w:cstheme="majorHAnsi"/>
        </w:rPr>
        <w:t xml:space="preserve">, 2026. [Online]. Available: </w:t>
      </w:r>
      <w:hyperlink r:id="rId16" w:history="1">
        <w:r w:rsidR="00273A3F" w:rsidRPr="0077406F">
          <w:rPr>
            <w:rStyle w:val="Hyperlink"/>
            <w:rFonts w:asciiTheme="majorHAnsi" w:hAnsiTheme="majorHAnsi" w:cstheme="majorHAnsi"/>
          </w:rPr>
          <w:t>https://matplotlib.org/stable/users/explain/quick_start.html</w:t>
        </w:r>
      </w:hyperlink>
    </w:p>
    <w:p w14:paraId="79C0BE67" w14:textId="77777777" w:rsidR="00273A3F" w:rsidRPr="00F134F7" w:rsidRDefault="00000000" w:rsidP="00F134F7">
      <w:pPr>
        <w:rPr>
          <w:b/>
          <w:bCs/>
        </w:rPr>
      </w:pPr>
      <w:r w:rsidRPr="00F134F7">
        <w:rPr>
          <w:b/>
          <w:bCs/>
        </w:rPr>
        <w:t>Appendix A. AI usage declaration and verification</w:t>
      </w:r>
    </w:p>
    <w:p w14:paraId="508EA8F6" w14:textId="77777777" w:rsidR="00273A3F" w:rsidRPr="0077406F" w:rsidRDefault="00000000" w:rsidP="0077406F">
      <w:pPr>
        <w:spacing w:line="360" w:lineRule="auto"/>
        <w:rPr>
          <w:rFonts w:asciiTheme="majorHAnsi" w:hAnsiTheme="majorHAnsi" w:cstheme="majorHAnsi"/>
        </w:rPr>
      </w:pPr>
      <w:r w:rsidRPr="0077406F">
        <w:rPr>
          <w:rFonts w:asciiTheme="majorHAnsi" w:hAnsiTheme="majorHAnsi" w:cstheme="majorHAnsi"/>
        </w:rPr>
        <w:br w:type="page"/>
      </w:r>
    </w:p>
    <w:sectPr w:rsidR="00273A3F" w:rsidRPr="0077406F" w:rsidSect="00034616">
      <w:headerReference w:type="default" r:id="rId17"/>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1235F7" w14:textId="77777777" w:rsidR="00177236" w:rsidRDefault="00177236">
      <w:pPr>
        <w:spacing w:after="0"/>
      </w:pPr>
      <w:r>
        <w:separator/>
      </w:r>
    </w:p>
  </w:endnote>
  <w:endnote w:type="continuationSeparator" w:id="0">
    <w:p w14:paraId="548BD7EF" w14:textId="77777777" w:rsidR="00177236" w:rsidRDefault="001772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6A0F8" w14:textId="77777777" w:rsidR="00273A3F" w:rsidRDefault="00000000">
    <w:pPr>
      <w:pStyle w:val="Footer"/>
      <w:jc w:val="right"/>
    </w:pPr>
    <w:r>
      <w:t xml:space="preserve">Page </w:t>
    </w:r>
    <w:r>
      <w:fldChar w:fldCharType="begin"/>
    </w:r>
    <w:r>
      <w:instrText>PAGE</w:instrText>
    </w:r>
    <w:r>
      <w:fldChar w:fldCharType="separate"/>
    </w:r>
    <w:r w:rsidR="00A345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3284CD" w14:textId="77777777" w:rsidR="00177236" w:rsidRDefault="00177236">
      <w:pPr>
        <w:spacing w:after="0"/>
      </w:pPr>
      <w:r>
        <w:separator/>
      </w:r>
    </w:p>
  </w:footnote>
  <w:footnote w:type="continuationSeparator" w:id="0">
    <w:p w14:paraId="69F8173A" w14:textId="77777777" w:rsidR="00177236" w:rsidRDefault="001772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B7A6F" w14:textId="77777777" w:rsidR="00273A3F" w:rsidRDefault="00000000">
    <w:r>
      <w:t>BDA112 | Urban Air Quality Analytics with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712849">
    <w:abstractNumId w:val="8"/>
  </w:num>
  <w:num w:numId="2" w16cid:durableId="1523201936">
    <w:abstractNumId w:val="6"/>
  </w:num>
  <w:num w:numId="3" w16cid:durableId="736822491">
    <w:abstractNumId w:val="5"/>
  </w:num>
  <w:num w:numId="4" w16cid:durableId="25063178">
    <w:abstractNumId w:val="4"/>
  </w:num>
  <w:num w:numId="5" w16cid:durableId="1010063889">
    <w:abstractNumId w:val="7"/>
  </w:num>
  <w:num w:numId="6" w16cid:durableId="1924028007">
    <w:abstractNumId w:val="3"/>
  </w:num>
  <w:num w:numId="7" w16cid:durableId="419060222">
    <w:abstractNumId w:val="2"/>
  </w:num>
  <w:num w:numId="8" w16cid:durableId="1357342497">
    <w:abstractNumId w:val="1"/>
  </w:num>
  <w:num w:numId="9" w16cid:durableId="20372721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3AA"/>
    <w:rsid w:val="0006063C"/>
    <w:rsid w:val="000D55B4"/>
    <w:rsid w:val="000E3767"/>
    <w:rsid w:val="0015074B"/>
    <w:rsid w:val="00161C2D"/>
    <w:rsid w:val="00177236"/>
    <w:rsid w:val="001D6D7E"/>
    <w:rsid w:val="002211E7"/>
    <w:rsid w:val="00273A3F"/>
    <w:rsid w:val="0029639D"/>
    <w:rsid w:val="002F7A43"/>
    <w:rsid w:val="00326F90"/>
    <w:rsid w:val="00346122"/>
    <w:rsid w:val="00452F23"/>
    <w:rsid w:val="0055154E"/>
    <w:rsid w:val="005C5368"/>
    <w:rsid w:val="005C658A"/>
    <w:rsid w:val="006023B3"/>
    <w:rsid w:val="00666EC4"/>
    <w:rsid w:val="006800DA"/>
    <w:rsid w:val="006B73FE"/>
    <w:rsid w:val="006D3921"/>
    <w:rsid w:val="006D5B21"/>
    <w:rsid w:val="0077406F"/>
    <w:rsid w:val="00A34528"/>
    <w:rsid w:val="00AA1D8D"/>
    <w:rsid w:val="00AF7525"/>
    <w:rsid w:val="00B47730"/>
    <w:rsid w:val="00C16767"/>
    <w:rsid w:val="00C36BC8"/>
    <w:rsid w:val="00CB0664"/>
    <w:rsid w:val="00D67A23"/>
    <w:rsid w:val="00DA3DC9"/>
    <w:rsid w:val="00F13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0C9F32"/>
  <w14:defaultImageDpi w14:val="300"/>
  <w15:docId w15:val="{42E8B054-4317-4F0A-BB22-E7BB1F7D7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i/>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3">
    <w:name w:val="Grid Table 4 Accent 3"/>
    <w:basedOn w:val="TableNormal"/>
    <w:uiPriority w:val="49"/>
    <w:rsid w:val="006023B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6023B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6023B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6023B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6023B3"/>
    <w:rPr>
      <w:color w:val="0000FF" w:themeColor="hyperlink"/>
      <w:u w:val="single"/>
    </w:rPr>
  </w:style>
  <w:style w:type="character" w:styleId="UnresolvedMention">
    <w:name w:val="Unresolved Mention"/>
    <w:basedOn w:val="DefaultParagraphFont"/>
    <w:uiPriority w:val="99"/>
    <w:semiHidden/>
    <w:unhideWhenUsed/>
    <w:rsid w:val="006023B3"/>
    <w:rPr>
      <w:color w:val="605E5C"/>
      <w:shd w:val="clear" w:color="auto" w:fill="E1DFDD"/>
    </w:rPr>
  </w:style>
  <w:style w:type="character" w:styleId="FollowedHyperlink">
    <w:name w:val="FollowedHyperlink"/>
    <w:basedOn w:val="DefaultParagraphFont"/>
    <w:uiPriority w:val="99"/>
    <w:semiHidden/>
    <w:unhideWhenUsed/>
    <w:rsid w:val="006023B3"/>
    <w:rPr>
      <w:color w:val="800080" w:themeColor="followedHyperlink"/>
      <w:u w:val="single"/>
    </w:rPr>
  </w:style>
  <w:style w:type="paragraph" w:styleId="TOC1">
    <w:name w:val="toc 1"/>
    <w:basedOn w:val="Normal"/>
    <w:next w:val="Normal"/>
    <w:autoRedefine/>
    <w:uiPriority w:val="39"/>
    <w:unhideWhenUsed/>
    <w:rsid w:val="00C36BC8"/>
    <w:pPr>
      <w:spacing w:before="120" w:after="0"/>
    </w:pPr>
    <w:rPr>
      <w:rFonts w:asciiTheme="minorHAnsi" w:hAnsiTheme="minorHAnsi"/>
      <w:b/>
      <w:bCs/>
      <w:i/>
      <w:iCs/>
      <w:sz w:val="24"/>
      <w:szCs w:val="24"/>
    </w:rPr>
  </w:style>
  <w:style w:type="paragraph" w:styleId="TOC2">
    <w:name w:val="toc 2"/>
    <w:basedOn w:val="Normal"/>
    <w:next w:val="Normal"/>
    <w:autoRedefine/>
    <w:uiPriority w:val="39"/>
    <w:semiHidden/>
    <w:unhideWhenUsed/>
    <w:rsid w:val="00C36BC8"/>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C36BC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C36BC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C36BC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C36BC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C36BC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C36BC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C36BC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ikit-learn.org/stable/modules/generated/sklearn.ensemble.RandomForestRegressor.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generated/sklearn.linear_model.LinearRegression.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matplotlib.org/stable/users/explain/quick_start.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ndas-dev/pandas/blob/main/doc/data/air_quality_no2.csv" TargetMode="External"/><Relationship Id="rId5" Type="http://schemas.openxmlformats.org/officeDocument/2006/relationships/webSettings" Target="webSettings.xml"/><Relationship Id="rId15" Type="http://schemas.openxmlformats.org/officeDocument/2006/relationships/hyperlink" Target="https://numpy.org/doc/stable/user/absolute_beginners.html" TargetMode="External"/><Relationship Id="rId10" Type="http://schemas.openxmlformats.org/officeDocument/2006/relationships/hyperlink" Target="https://pandas.pydata.org/docs/getting_started/intro_tutorials/04_plott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stable/modules/model_evalu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11</Pages>
  <Words>2542</Words>
  <Characters>14490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romasah</dc:creator>
  <cp:keywords/>
  <dc:description>generated by python-docx</dc:description>
  <cp:lastModifiedBy>Roma Sah</cp:lastModifiedBy>
  <cp:revision>7</cp:revision>
  <dcterms:created xsi:type="dcterms:W3CDTF">2026-09-25T04:35:00Z</dcterms:created>
  <dcterms:modified xsi:type="dcterms:W3CDTF">2026-09-25T17:20:00Z</dcterms:modified>
  <cp:category/>
</cp:coreProperties>
</file>