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  <w:jc w:val="center"/>
      </w:pPr>
      <w:r>
        <w:rPr>
          <w:rFonts w:ascii="Times New Roman" w:hAnsi="Times New Roman" w:eastAsia="Times New Roman"/>
          <w:b/>
          <w:color w:val="000000"/>
          <w:sz w:val="36"/>
        </w:rPr>
        <w:t>Лабораторная работа IDEF0</w:t>
      </w:r>
    </w:p>
    <w:p>
      <w:pPr>
        <w:spacing w:before="0" w:after="8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Построение функциональной модели предметной области</w:t>
      </w:r>
    </w:p>
    <w:p>
      <w:pPr>
        <w:spacing w:before="0" w:after="560" w:line="276" w:lineRule="auto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Вариант 18. Учёт выдачи и возврата изданий в библиотеке</w:t>
      </w:r>
    </w:p>
    <w:p>
      <w:pPr>
        <w:spacing w:before="0" w:after="40" w:line="276" w:lineRule="auto"/>
        <w:jc w:val="right"/>
      </w:pPr>
      <w:r>
        <w:rPr>
          <w:rFonts w:ascii="Times New Roman" w:hAnsi="Times New Roman" w:eastAsia="Times New Roman"/>
          <w:b w:val="0"/>
          <w:color w:val="000000"/>
          <w:sz w:val="24"/>
        </w:rPr>
        <w:t>Исполнитель: Роман Траньков</w:t>
      </w:r>
    </w:p>
    <w:p>
      <w:pPr>
        <w:spacing w:before="0" w:after="480" w:line="276" w:lineRule="auto"/>
        <w:jc w:val="right"/>
      </w:pPr>
      <w:r>
        <w:rPr>
          <w:rFonts w:ascii="Times New Roman" w:hAnsi="Times New Roman" w:eastAsia="Times New Roman"/>
          <w:b w:val="0"/>
          <w:color w:val="000000"/>
          <w:sz w:val="24"/>
        </w:rPr>
        <w:t>Дата: 29.09.2026</w:t>
      </w:r>
    </w:p>
    <w:p>
      <w:pPr>
        <w:spacing w:before="240" w:after="100"/>
      </w:pPr>
      <w:r>
        <w:rPr>
          <w:rFonts w:ascii="Times New Roman" w:hAnsi="Times New Roman" w:eastAsia="Times New Roman"/>
          <w:b/>
          <w:color w:val="000000"/>
          <w:sz w:val="30"/>
        </w:rPr>
        <w:t>Цель работы</w:t>
      </w:r>
    </w:p>
    <w:p>
      <w:pPr>
        <w:spacing w:before="0" w:after="120" w:line="276" w:lineRule="auto"/>
        <w:ind w:firstLine="567"/>
      </w:pPr>
      <w:r>
        <w:rPr>
          <w:rFonts w:ascii="Times New Roman" w:hAnsi="Times New Roman" w:eastAsia="Times New Roman"/>
          <w:b w:val="0"/>
          <w:color w:val="000000"/>
          <w:sz w:val="24"/>
        </w:rPr>
        <w:t>Освоить построение трёхуровневой функциональной модели в нотации IDEF0 и применить её к учёту библиотечной выдачи и возврата изданий.</w:t>
      </w:r>
    </w:p>
    <w:p>
      <w:pPr>
        <w:spacing w:before="240" w:after="100"/>
      </w:pPr>
      <w:r>
        <w:rPr>
          <w:rFonts w:ascii="Times New Roman" w:hAnsi="Times New Roman" w:eastAsia="Times New Roman"/>
          <w:b/>
          <w:color w:val="000000"/>
          <w:sz w:val="30"/>
        </w:rPr>
        <w:t>Цель, точка зрения и границы модели</w:t>
      </w:r>
    </w:p>
    <w:p>
      <w:pPr>
        <w:spacing w:before="0" w:after="120" w:line="276" w:lineRule="auto"/>
        <w:ind w:firstLine="567"/>
      </w:pPr>
      <w:r>
        <w:rPr>
          <w:rFonts w:ascii="Times New Roman" w:hAnsi="Times New Roman" w:eastAsia="Times New Roman"/>
          <w:b w:val="0"/>
          <w:color w:val="000000"/>
          <w:sz w:val="24"/>
        </w:rPr>
        <w:t>Цель модели: описать учёт выдачи и возврата библиотечных изданий, чтобы определить функции, данные и роли будущей библиотечной информационной системы.</w:t>
      </w:r>
    </w:p>
    <w:p>
      <w:pPr>
        <w:spacing w:before="0" w:after="120" w:line="276" w:lineRule="auto"/>
        <w:ind w:firstLine="567"/>
      </w:pPr>
      <w:r>
        <w:rPr>
          <w:rFonts w:ascii="Times New Roman" w:hAnsi="Times New Roman" w:eastAsia="Times New Roman"/>
          <w:b w:val="0"/>
          <w:color w:val="000000"/>
          <w:sz w:val="24"/>
        </w:rPr>
        <w:t>Точка зрения: библиотекарь, который обслуживает читателя, оформляет выдачу и возврат экземпляров и контролирует сроки пользования.</w:t>
      </w:r>
    </w:p>
    <w:p>
      <w:pPr>
        <w:spacing w:before="0" w:after="120" w:line="276" w:lineRule="auto"/>
        <w:ind w:firstLine="567"/>
      </w:pPr>
      <w:r>
        <w:rPr>
          <w:rFonts w:ascii="Times New Roman" w:hAnsi="Times New Roman" w:eastAsia="Times New Roman"/>
          <w:b w:val="0"/>
          <w:color w:val="000000"/>
          <w:sz w:val="24"/>
        </w:rPr>
        <w:t>Границы системы: модель начинается с обращения читателя или возврата экземпляра и заканчивается регистрацией операции, изменением статуса фонда и формированием уведомления или отчёта. Комплектование фонда, закупка изданий и финансовый учёт штрафов в модель не входят.</w:t>
      </w:r>
    </w:p>
    <w:p>
      <w:pPr>
        <w:spacing w:before="240" w:after="100"/>
      </w:pPr>
      <w:r>
        <w:rPr>
          <w:rFonts w:ascii="Times New Roman" w:hAnsi="Times New Roman" w:eastAsia="Times New Roman"/>
          <w:b/>
          <w:color w:val="000000"/>
          <w:sz w:val="30"/>
        </w:rPr>
        <w:t>Структура модели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Узел</w:t>
            </w:r>
          </w:p>
        </w:tc>
        <w:tc>
          <w:tcPr>
            <w:tcW w:type="dxa" w:w="33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Название</w:t>
            </w:r>
          </w:p>
        </w:tc>
        <w:tc>
          <w:tcPr>
            <w:tcW w:type="dxa" w:w="33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A-0</w:t>
            </w:r>
          </w:p>
        </w:tc>
        <w:tc>
          <w:tcPr>
            <w:tcW w:type="dxa" w:w="33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Учитывать выдачу и возврат изданий</w:t>
            </w:r>
          </w:p>
        </w:tc>
        <w:tc>
          <w:tcPr>
            <w:tcW w:type="dxa" w:w="33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Контекстная диаграмма с входами, управлениями, выходами и механизмами.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A0</w:t>
            </w:r>
          </w:p>
        </w:tc>
        <w:tc>
          <w:tcPr>
            <w:tcW w:type="dxa" w:w="33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Декомпозиция главной функции</w:t>
            </w:r>
          </w:p>
        </w:tc>
        <w:tc>
          <w:tcPr>
            <w:tcW w:type="dxa" w:w="33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Проверка заявки, выдача, возврат с контролем срока, уведомления и отчёты.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A1</w:t>
            </w:r>
          </w:p>
        </w:tc>
        <w:tc>
          <w:tcPr>
            <w:tcW w:type="dxa" w:w="33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Проверять читателя и доступность издания</w:t>
            </w:r>
          </w:p>
        </w:tc>
        <w:tc>
          <w:tcPr>
            <w:tcW w:type="dxa" w:w="33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Проверка читателя, экземпляра и возможности выдачи.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A2</w:t>
            </w:r>
          </w:p>
        </w:tc>
        <w:tc>
          <w:tcPr>
            <w:tcW w:type="dxa" w:w="33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Регистрировать выдачу издания</w:t>
            </w:r>
          </w:p>
        </w:tc>
        <w:tc>
          <w:tcPr>
            <w:tcW w:type="dxa" w:w="33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Оформление записи выдачи и передача экземпляра читателю.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A3</w:t>
            </w:r>
          </w:p>
        </w:tc>
        <w:tc>
          <w:tcPr>
            <w:tcW w:type="dxa" w:w="33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Регистрировать возврат и контролировать срок</w:t>
            </w:r>
          </w:p>
        </w:tc>
        <w:tc>
          <w:tcPr>
            <w:tcW w:type="dxa" w:w="332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Приём издания, контроль срока, регистрация возврата и изменение статуса фонда.</w:t>
            </w:r>
          </w:p>
        </w:tc>
      </w:tr>
    </w:tbl>
    <w:p>
      <w:r>
        <w:br w:type="page"/>
      </w:r>
    </w:p>
    <w:p>
      <w:pPr>
        <w:spacing w:before="240" w:after="100"/>
      </w:pPr>
      <w:r>
        <w:rPr>
          <w:rFonts w:ascii="Times New Roman" w:hAnsi="Times New Roman" w:eastAsia="Times New Roman"/>
          <w:b/>
          <w:color w:val="000000"/>
          <w:sz w:val="30"/>
        </w:rPr>
        <w:t>Построенные диаграммы</w:t>
      </w:r>
    </w:p>
    <w:p>
      <w:pPr>
        <w:spacing w:before="0" w:after="120" w:line="276" w:lineRule="auto"/>
        <w:ind w:firstLine="567"/>
      </w:pPr>
      <w:r>
        <w:rPr>
          <w:rFonts w:ascii="Times New Roman" w:hAnsi="Times New Roman" w:eastAsia="Times New Roman"/>
          <w:b w:val="0"/>
          <w:color w:val="000000"/>
          <w:sz w:val="24"/>
        </w:rPr>
        <w:t>Коды ICOM позволяют сверить граничные стрелки родительских и дочерних диаграмм. На A0 решение по заявке W1 передаётся от A1 к A2, запись выдачи W2 — от A2 к A3, а сведения о просрочке W3 — от A3 к A4. При новой заявке сведения о текущих долгах проверяются по учётным данным БИС с учётом ограничений C3.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42734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0_контекстная_диаграмм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273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Рисунок 1. Контекстная диаграмма A-0</w:t>
      </w:r>
    </w:p>
    <w:p>
      <w:r>
        <w:br w:type="page"/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42734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_декомпозиция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273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Рисунок 2. Декомпозиция главной функции A0</w:t>
      </w:r>
    </w:p>
    <w:p>
      <w:r>
        <w:br w:type="page"/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42734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проверка_заявки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273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Рисунок 3. Декомпозиция A1 «Проверять читателя и доступность издания»</w:t>
      </w:r>
    </w:p>
    <w:p>
      <w:r>
        <w:br w:type="page"/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42734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выдача_издания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273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Рисунок 4. Декомпозиция A2 «Регистрировать выдачу издания»</w:t>
      </w:r>
    </w:p>
    <w:p>
      <w:r>
        <w:br w:type="page"/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48000" cy="42734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возврат_и_контрол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273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Рисунок 5. Декомпозиция A3 «Регистрировать возврат и контролировать срок»</w:t>
      </w:r>
    </w:p>
    <w:p>
      <w:pPr>
        <w:spacing w:before="240" w:after="100"/>
      </w:pPr>
      <w:r>
        <w:rPr>
          <w:rFonts w:ascii="Times New Roman" w:hAnsi="Times New Roman" w:eastAsia="Times New Roman"/>
          <w:b/>
          <w:color w:val="000000"/>
          <w:sz w:val="30"/>
        </w:rPr>
        <w:t>Словарь стрелок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Код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Наименование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Тип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I1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Запрос читателя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Вход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Обращение читателя на получение конкретного издания.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I2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Возвращённое издание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Вход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Экземпляр, переданный читателем обратно в библиотеку.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C1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Правила библиотеки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Управление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Нормы регистрации читателя, выдачи и возврата.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C2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Каталог фонда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Управление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Сведения об изданиях, экземплярах и их статусе.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C3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Сроки и ограничения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Управление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Допустимые сроки, лимиты и условия ограничения выдачи.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O1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Выданное издание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Выход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Экземпляр, оформленный для передачи читателю.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O2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Статус фонда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Выход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Сведения о доступности и состоянии экземпляра после возврата.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O3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Уведомление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Выход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Сообщение о сроке возврата или просрочке.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O4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Отчёт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Выход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Сводные сведения о выдаче и возврате.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M1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Библиотекарь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Механизм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Сотрудник, выполняющий обслуживание и учёт.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M2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Библиотечная ИС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Механизм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Программа для поиска, регистрации операций и формирования отчётов.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M3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Фонд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Механизм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Набор экземпляров, доступных для выдачи и возврата.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W1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Решение по заявке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Внутренняя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Результат проверки читателя и экземпляра: принять заявку либо отказать с указанием причины.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W2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Запись выдачи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Внутренняя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Карточка операции с читателем, экземпляром и сроком возврата.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W3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Сведения о просрочке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Внутренняя</w:t>
            </w:r>
          </w:p>
        </w:tc>
        <w:tc>
          <w:tcPr>
            <w:tcW w:type="dxa" w:w="2493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 w:val="0"/>
                <w:color w:val="000000"/>
                <w:sz w:val="16"/>
              </w:rPr>
              <w:t>Результат контроля срока, поступающий от A3 к уведомлениям и отчётам A4.</w:t>
            </w:r>
          </w:p>
        </w:tc>
      </w:tr>
    </w:tbl>
    <w:p>
      <w:pPr>
        <w:spacing w:before="240" w:after="100"/>
      </w:pPr>
      <w:r>
        <w:rPr>
          <w:rFonts w:ascii="Times New Roman" w:hAnsi="Times New Roman" w:eastAsia="Times New Roman"/>
          <w:b/>
          <w:color w:val="000000"/>
          <w:sz w:val="30"/>
        </w:rPr>
        <w:t>Требования к информационной системе</w:t>
      </w:r>
    </w:p>
    <w:p>
      <w:pPr>
        <w:spacing w:before="0" w:after="120" w:line="276" w:lineRule="auto"/>
        <w:ind w:firstLine="567"/>
      </w:pPr>
      <w:r>
        <w:rPr>
          <w:rFonts w:ascii="Times New Roman" w:hAnsi="Times New Roman" w:eastAsia="Times New Roman"/>
          <w:b w:val="0"/>
          <w:color w:val="000000"/>
          <w:sz w:val="24"/>
        </w:rPr>
        <w:t>Из модели следует, что система должна идентифицировать читателя, проверять доступность экземпляра и ограничения перед выдачей. Решение по заявке передаётся в оформление выдачи; при отказе экземпляр не выдают. Система хранит записи выдачи и возврата, обновляет статус фонда после возврата, контролирует сроки и формирует уведомления о просрочке. Отчётность использует сведения о выполненных операциях.</w:t>
      </w:r>
    </w:p>
    <w:p>
      <w:pPr>
        <w:spacing w:before="240" w:after="100"/>
      </w:pPr>
      <w:r>
        <w:rPr>
          <w:rFonts w:ascii="Times New Roman" w:hAnsi="Times New Roman" w:eastAsia="Times New Roman"/>
          <w:b/>
          <w:color w:val="000000"/>
          <w:sz w:val="30"/>
        </w:rPr>
        <w:t>Ответы на контрольные вопросы</w:t>
      </w:r>
    </w:p>
    <w:p>
      <w:pPr>
        <w:keepNext/>
        <w:spacing w:before="60" w:after="20" w:line="276" w:lineRule="auto"/>
      </w:pPr>
      <w:r>
        <w:rPr>
          <w:rFonts w:ascii="Times New Roman" w:hAnsi="Times New Roman" w:eastAsia="Times New Roman"/>
          <w:b/>
          <w:color w:val="000000"/>
          <w:sz w:val="20"/>
        </w:rPr>
        <w:t>1. Что такое функциональная модель?</w:t>
      </w:r>
    </w:p>
    <w:p>
      <w:pPr>
        <w:keepLines/>
        <w:spacing w:before="0" w:after="60" w:line="276" w:lineRule="auto"/>
        <w:ind w:firstLine="567"/>
      </w:pPr>
      <w:r>
        <w:rPr>
          <w:rFonts w:ascii="Times New Roman" w:hAnsi="Times New Roman" w:eastAsia="Times New Roman"/>
          <w:b w:val="0"/>
          <w:color w:val="000000"/>
          <w:sz w:val="20"/>
        </w:rPr>
        <w:t>Функциональная модель описывает, какие действия выполняет система, какие данные она получает, что использует как управление и ресурсы, а также какие результаты формирует.</w:t>
      </w:r>
    </w:p>
    <w:p>
      <w:pPr>
        <w:keepNext/>
        <w:spacing w:before="60" w:after="20" w:line="276" w:lineRule="auto"/>
      </w:pPr>
      <w:r>
        <w:rPr>
          <w:rFonts w:ascii="Times New Roman" w:hAnsi="Times New Roman" w:eastAsia="Times New Roman"/>
          <w:b/>
          <w:color w:val="000000"/>
          <w:sz w:val="20"/>
        </w:rPr>
        <w:t>2. Чем цель модели отличается от точки зрения?</w:t>
      </w:r>
    </w:p>
    <w:p>
      <w:pPr>
        <w:keepLines/>
        <w:spacing w:before="0" w:after="60" w:line="276" w:lineRule="auto"/>
        <w:ind w:firstLine="567"/>
      </w:pPr>
      <w:r>
        <w:rPr>
          <w:rFonts w:ascii="Times New Roman" w:hAnsi="Times New Roman" w:eastAsia="Times New Roman"/>
          <w:b w:val="0"/>
          <w:color w:val="000000"/>
          <w:sz w:val="20"/>
        </w:rPr>
        <w:t>Цель отвечает на вопрос, для чего строится модель. Точка зрения определяет, чьими глазами рассматривается система. До начала моделирования они задают единое направление работы.</w:t>
      </w:r>
    </w:p>
    <w:p>
      <w:pPr>
        <w:keepNext/>
        <w:spacing w:before="60" w:after="20" w:line="276" w:lineRule="auto"/>
      </w:pPr>
      <w:r>
        <w:rPr>
          <w:rFonts w:ascii="Times New Roman" w:hAnsi="Times New Roman" w:eastAsia="Times New Roman"/>
          <w:b/>
          <w:color w:val="000000"/>
          <w:sz w:val="20"/>
        </w:rPr>
        <w:t>3. Какие типы интерфейсных дуг использует IDEF0?</w:t>
      </w:r>
    </w:p>
    <w:p>
      <w:pPr>
        <w:keepLines/>
        <w:spacing w:before="0" w:after="60" w:line="276" w:lineRule="auto"/>
        <w:ind w:firstLine="567"/>
      </w:pPr>
      <w:r>
        <w:rPr>
          <w:rFonts w:ascii="Times New Roman" w:hAnsi="Times New Roman" w:eastAsia="Times New Roman"/>
          <w:b w:val="0"/>
          <w:color w:val="000000"/>
          <w:sz w:val="20"/>
        </w:rPr>
        <w:t>Вход присоединяется слева, управление сверху, выход справа, механизм снизу. Вызов является специальной стрелкой для функции, описанной в другой модели.</w:t>
      </w:r>
    </w:p>
    <w:p>
      <w:pPr>
        <w:keepNext/>
        <w:spacing w:before="60" w:after="20" w:line="276" w:lineRule="auto"/>
      </w:pPr>
      <w:r>
        <w:rPr>
          <w:rFonts w:ascii="Times New Roman" w:hAnsi="Times New Roman" w:eastAsia="Times New Roman"/>
          <w:b/>
          <w:color w:val="000000"/>
          <w:sz w:val="20"/>
        </w:rPr>
        <w:t>4. Как отличить вход от управления?</w:t>
      </w:r>
    </w:p>
    <w:p>
      <w:pPr>
        <w:keepLines/>
        <w:spacing w:before="0" w:after="60" w:line="276" w:lineRule="auto"/>
        <w:ind w:firstLine="567"/>
      </w:pPr>
      <w:r>
        <w:rPr>
          <w:rFonts w:ascii="Times New Roman" w:hAnsi="Times New Roman" w:eastAsia="Times New Roman"/>
          <w:b w:val="0"/>
          <w:color w:val="000000"/>
          <w:sz w:val="20"/>
        </w:rPr>
        <w:t>Вход преобразуется работой, а управление задаёт правила её выполнения. Например, возвращённое издание является входом при регистрации возврата, а правила пользования библиотекой являются управлением.</w:t>
      </w:r>
    </w:p>
    <w:p>
      <w:pPr>
        <w:keepNext/>
        <w:spacing w:before="60" w:after="20" w:line="276" w:lineRule="auto"/>
      </w:pPr>
      <w:r>
        <w:rPr>
          <w:rFonts w:ascii="Times New Roman" w:hAnsi="Times New Roman" w:eastAsia="Times New Roman"/>
          <w:b/>
          <w:color w:val="000000"/>
          <w:sz w:val="20"/>
        </w:rPr>
        <w:t>5. Почему на диаграмме должно быть от трёх до шести блоков?</w:t>
      </w:r>
    </w:p>
    <w:p>
      <w:pPr>
        <w:keepLines/>
        <w:spacing w:before="0" w:after="60" w:line="276" w:lineRule="auto"/>
        <w:ind w:firstLine="567"/>
      </w:pPr>
      <w:r>
        <w:rPr>
          <w:rFonts w:ascii="Times New Roman" w:hAnsi="Times New Roman" w:eastAsia="Times New Roman"/>
          <w:b w:val="0"/>
          <w:color w:val="000000"/>
          <w:sz w:val="20"/>
        </w:rPr>
        <w:t>Такое число позволяет раскрыть функцию без потери читаемости. Меньшее число обычно не даёт содержательной декомпозиции, большее перегружает диаграмму.</w:t>
      </w:r>
    </w:p>
    <w:p>
      <w:pPr>
        <w:keepNext/>
        <w:spacing w:before="60" w:after="20" w:line="276" w:lineRule="auto"/>
      </w:pPr>
      <w:r>
        <w:rPr>
          <w:rFonts w:ascii="Times New Roman" w:hAnsi="Times New Roman" w:eastAsia="Times New Roman"/>
          <w:b/>
          <w:color w:val="000000"/>
          <w:sz w:val="20"/>
        </w:rPr>
        <w:t>6. Что такое контекстная диаграмма?</w:t>
      </w:r>
    </w:p>
    <w:p>
      <w:pPr>
        <w:keepLines/>
        <w:spacing w:before="0" w:after="60" w:line="276" w:lineRule="auto"/>
        <w:ind w:firstLine="567"/>
      </w:pPr>
      <w:r>
        <w:rPr>
          <w:rFonts w:ascii="Times New Roman" w:hAnsi="Times New Roman" w:eastAsia="Times New Roman"/>
          <w:b w:val="0"/>
          <w:color w:val="000000"/>
          <w:sz w:val="20"/>
        </w:rPr>
        <w:t>Это верхний уровень модели с одной главной функцией и граничными стрелками. Ей присваивается номер узла A-0.</w:t>
      </w:r>
    </w:p>
    <w:p>
      <w:pPr>
        <w:keepNext/>
        <w:spacing w:before="60" w:after="20" w:line="276" w:lineRule="auto"/>
      </w:pPr>
      <w:r>
        <w:rPr>
          <w:rFonts w:ascii="Times New Roman" w:hAnsi="Times New Roman" w:eastAsia="Times New Roman"/>
          <w:b/>
          <w:color w:val="000000"/>
          <w:sz w:val="20"/>
        </w:rPr>
        <w:t>7. Как связаны номера блоков и диаграмм?</w:t>
      </w:r>
    </w:p>
    <w:p>
      <w:pPr>
        <w:keepLines/>
        <w:spacing w:before="0" w:after="60" w:line="276" w:lineRule="auto"/>
        <w:ind w:firstLine="567"/>
      </w:pPr>
      <w:r>
        <w:rPr>
          <w:rFonts w:ascii="Times New Roman" w:hAnsi="Times New Roman" w:eastAsia="Times New Roman"/>
          <w:b w:val="0"/>
          <w:color w:val="000000"/>
          <w:sz w:val="20"/>
        </w:rPr>
        <w:t>Блок A1 на диаграмме A0 раскрывается на диаграмме A1. Аналогично блоки A2 и A3 имеют одноимённые дочерние диаграммы.</w:t>
      </w:r>
    </w:p>
    <w:p>
      <w:pPr>
        <w:keepNext/>
        <w:spacing w:before="60" w:after="20" w:line="276" w:lineRule="auto"/>
      </w:pPr>
      <w:r>
        <w:rPr>
          <w:rFonts w:ascii="Times New Roman" w:hAnsi="Times New Roman" w:eastAsia="Times New Roman"/>
          <w:b/>
          <w:color w:val="000000"/>
          <w:sz w:val="20"/>
        </w:rPr>
        <w:t>8. Что такое миграция стрелок?</w:t>
      </w:r>
    </w:p>
    <w:p>
      <w:pPr>
        <w:keepLines/>
        <w:spacing w:before="0" w:after="60" w:line="276" w:lineRule="auto"/>
        <w:ind w:firstLine="567"/>
      </w:pPr>
      <w:r>
        <w:rPr>
          <w:rFonts w:ascii="Times New Roman" w:hAnsi="Times New Roman" w:eastAsia="Times New Roman"/>
          <w:b w:val="0"/>
          <w:color w:val="000000"/>
          <w:sz w:val="20"/>
        </w:rPr>
        <w:t>Это перенос граничных стрелок родительского блока на дочернюю диаграмму. Корректность проверяют по совпадению ICOM-кодов.</w:t>
      </w:r>
    </w:p>
    <w:p>
      <w:pPr>
        <w:keepNext/>
        <w:spacing w:before="60" w:after="20" w:line="276" w:lineRule="auto"/>
      </w:pPr>
      <w:r>
        <w:rPr>
          <w:rFonts w:ascii="Times New Roman" w:hAnsi="Times New Roman" w:eastAsia="Times New Roman"/>
          <w:b/>
          <w:color w:val="000000"/>
          <w:sz w:val="20"/>
        </w:rPr>
        <w:t>9. Что такое несвязанная стрелка?</w:t>
      </w:r>
    </w:p>
    <w:p>
      <w:pPr>
        <w:keepLines/>
        <w:spacing w:before="0" w:after="60" w:line="276" w:lineRule="auto"/>
        <w:ind w:firstLine="567"/>
      </w:pPr>
      <w:r>
        <w:rPr>
          <w:rFonts w:ascii="Times New Roman" w:hAnsi="Times New Roman" w:eastAsia="Times New Roman"/>
          <w:b w:val="0"/>
          <w:color w:val="000000"/>
          <w:sz w:val="20"/>
        </w:rPr>
        <w:t>Это стрелка, которая не соединена с блоком. Она считается синтаксической ошибкой, потому что не участвует в описании функции.</w:t>
      </w:r>
    </w:p>
    <w:p>
      <w:pPr>
        <w:keepNext/>
        <w:spacing w:before="60" w:after="20" w:line="276" w:lineRule="auto"/>
      </w:pPr>
      <w:r>
        <w:rPr>
          <w:rFonts w:ascii="Times New Roman" w:hAnsi="Times New Roman" w:eastAsia="Times New Roman"/>
          <w:b/>
          <w:color w:val="000000"/>
          <w:sz w:val="20"/>
        </w:rPr>
        <w:t>10. Какие связи между работами применяются?</w:t>
      </w:r>
    </w:p>
    <w:p>
      <w:pPr>
        <w:keepLines/>
        <w:spacing w:before="0" w:after="60" w:line="276" w:lineRule="auto"/>
        <w:ind w:firstLine="567"/>
      </w:pPr>
      <w:r>
        <w:rPr>
          <w:rFonts w:ascii="Times New Roman" w:hAnsi="Times New Roman" w:eastAsia="Times New Roman"/>
          <w:b w:val="0"/>
          <w:color w:val="000000"/>
          <w:sz w:val="20"/>
        </w:rPr>
        <w:t>Связь по входу, связь по управлению, обратная связь по входу, обратная связь по управлению и связь выход-механизм.</w:t>
      </w:r>
    </w:p>
    <w:p>
      <w:pPr>
        <w:keepNext/>
        <w:spacing w:before="60" w:after="20" w:line="276" w:lineRule="auto"/>
      </w:pPr>
      <w:r>
        <w:rPr>
          <w:rFonts w:ascii="Times New Roman" w:hAnsi="Times New Roman" w:eastAsia="Times New Roman"/>
          <w:b/>
          <w:color w:val="000000"/>
          <w:sz w:val="20"/>
        </w:rPr>
        <w:t>11. Когда применяется обратная связь по управлению?</w:t>
      </w:r>
    </w:p>
    <w:p>
      <w:pPr>
        <w:keepLines/>
        <w:spacing w:before="0" w:after="60" w:line="276" w:lineRule="auto"/>
        <w:ind w:firstLine="567"/>
      </w:pPr>
      <w:r>
        <w:rPr>
          <w:rFonts w:ascii="Times New Roman" w:hAnsi="Times New Roman" w:eastAsia="Times New Roman"/>
          <w:b w:val="0"/>
          <w:color w:val="000000"/>
          <w:sz w:val="20"/>
        </w:rPr>
        <w:t>Она применяется, когда результат нижестоящей работы задаёт правило или ограничение для предыдущей. В данной модели W3 не является обратной связью: стрелка ведёт от A3 к A4. Новая заявка проверяется по учётным данным БИС и ограничениям C3.</w:t>
      </w:r>
    </w:p>
    <w:p>
      <w:pPr>
        <w:keepNext/>
        <w:spacing w:before="60" w:after="20" w:line="276" w:lineRule="auto"/>
      </w:pPr>
      <w:r>
        <w:rPr>
          <w:rFonts w:ascii="Times New Roman" w:hAnsi="Times New Roman" w:eastAsia="Times New Roman"/>
          <w:b/>
          <w:color w:val="000000"/>
          <w:sz w:val="20"/>
        </w:rPr>
        <w:t>12. Для чего нужно туннелирование?</w:t>
      </w:r>
    </w:p>
    <w:p>
      <w:pPr>
        <w:keepLines/>
        <w:spacing w:before="0" w:after="60" w:line="276" w:lineRule="auto"/>
        <w:ind w:firstLine="567"/>
      </w:pPr>
      <w:r>
        <w:rPr>
          <w:rFonts w:ascii="Times New Roman" w:hAnsi="Times New Roman" w:eastAsia="Times New Roman"/>
          <w:b w:val="0"/>
          <w:color w:val="000000"/>
          <w:sz w:val="20"/>
        </w:rPr>
        <w:t>Оно скрывает стрелку на смежном уровне, если её показ делает диаграмму перегруженной. Туннель обозначается квадратными скобками у начала или конца стрелки.</w:t>
      </w:r>
    </w:p>
    <w:p>
      <w:pPr>
        <w:keepNext/>
        <w:spacing w:before="60" w:after="20" w:line="276" w:lineRule="auto"/>
      </w:pPr>
      <w:r>
        <w:rPr>
          <w:rFonts w:ascii="Times New Roman" w:hAnsi="Times New Roman" w:eastAsia="Times New Roman"/>
          <w:b/>
          <w:color w:val="000000"/>
          <w:sz w:val="20"/>
        </w:rPr>
        <w:t>13. Как именуются ветви стрелок?</w:t>
      </w:r>
    </w:p>
    <w:p>
      <w:pPr>
        <w:keepLines/>
        <w:spacing w:before="0" w:after="60" w:line="276" w:lineRule="auto"/>
        <w:ind w:firstLine="567"/>
      </w:pPr>
      <w:r>
        <w:rPr>
          <w:rFonts w:ascii="Times New Roman" w:hAnsi="Times New Roman" w:eastAsia="Times New Roman"/>
          <w:b w:val="0"/>
          <w:color w:val="000000"/>
          <w:sz w:val="20"/>
        </w:rPr>
        <w:t>Стрелку подписывают до точки разветвления. Неподписанные ветви наследуют общее содержимое, а подписанные обозначают его часть.</w:t>
      </w:r>
    </w:p>
    <w:p>
      <w:pPr>
        <w:keepNext/>
        <w:spacing w:before="60" w:after="20" w:line="276" w:lineRule="auto"/>
      </w:pPr>
      <w:r>
        <w:rPr>
          <w:rFonts w:ascii="Times New Roman" w:hAnsi="Times New Roman" w:eastAsia="Times New Roman"/>
          <w:b/>
          <w:color w:val="000000"/>
          <w:sz w:val="20"/>
        </w:rPr>
        <w:t>14. В чём разница AS-IS и TO-BE?</w:t>
      </w:r>
    </w:p>
    <w:p>
      <w:pPr>
        <w:keepLines/>
        <w:spacing w:before="0" w:after="60" w:line="276" w:lineRule="auto"/>
        <w:ind w:firstLine="567"/>
      </w:pPr>
      <w:r>
        <w:rPr>
          <w:rFonts w:ascii="Times New Roman" w:hAnsi="Times New Roman" w:eastAsia="Times New Roman"/>
          <w:b w:val="0"/>
          <w:color w:val="000000"/>
          <w:sz w:val="20"/>
        </w:rPr>
        <w:t>AS-IS описывает текущую организацию процесса. TO-BE фиксирует целевую организацию после устранения найденных недостатков.</w:t>
      </w:r>
    </w:p>
    <w:p>
      <w:pPr>
        <w:keepNext/>
        <w:spacing w:before="60" w:after="20" w:line="276" w:lineRule="auto"/>
      </w:pPr>
      <w:r>
        <w:rPr>
          <w:rFonts w:ascii="Times New Roman" w:hAnsi="Times New Roman" w:eastAsia="Times New Roman"/>
          <w:b/>
          <w:color w:val="000000"/>
          <w:sz w:val="20"/>
        </w:rPr>
        <w:t>15. Какие недостатки выявляют в AS-IS?</w:t>
      </w:r>
    </w:p>
    <w:p>
      <w:pPr>
        <w:keepLines/>
        <w:spacing w:before="0" w:after="60" w:line="276" w:lineRule="auto"/>
        <w:ind w:firstLine="567"/>
      </w:pPr>
      <w:r>
        <w:rPr>
          <w:rFonts w:ascii="Times New Roman" w:hAnsi="Times New Roman" w:eastAsia="Times New Roman"/>
          <w:b w:val="0"/>
          <w:color w:val="000000"/>
          <w:sz w:val="20"/>
        </w:rPr>
        <w:t>Дублирующиеся и неуправляемые работы, неэффективный документооборот, отсутствие контроля и обратных связей.</w:t>
      </w:r>
    </w:p>
    <w:p>
      <w:pPr>
        <w:keepNext/>
        <w:spacing w:before="60" w:after="20" w:line="276" w:lineRule="auto"/>
      </w:pPr>
      <w:r>
        <w:rPr>
          <w:rFonts w:ascii="Times New Roman" w:hAnsi="Times New Roman" w:eastAsia="Times New Roman"/>
          <w:b/>
          <w:color w:val="000000"/>
          <w:sz w:val="20"/>
        </w:rPr>
        <w:t>16. Чем BPMN отличается от IDEF0?</w:t>
      </w:r>
    </w:p>
    <w:p>
      <w:pPr>
        <w:keepLines/>
        <w:spacing w:before="0" w:after="60" w:line="276" w:lineRule="auto"/>
        <w:ind w:firstLine="567"/>
      </w:pPr>
      <w:r>
        <w:rPr>
          <w:rFonts w:ascii="Times New Roman" w:hAnsi="Times New Roman" w:eastAsia="Times New Roman"/>
          <w:b w:val="0"/>
          <w:color w:val="000000"/>
          <w:sz w:val="20"/>
        </w:rPr>
        <w:t>IDEF0 показывает функции и их связи. BPMN описывает последовательность действий, события и ветвления процесса во времени.</w:t>
      </w:r>
    </w:p>
    <w:p>
      <w:pPr>
        <w:keepNext/>
        <w:spacing w:before="60" w:after="20" w:line="276" w:lineRule="auto"/>
      </w:pPr>
      <w:r>
        <w:rPr>
          <w:rFonts w:ascii="Times New Roman" w:hAnsi="Times New Roman" w:eastAsia="Times New Roman"/>
          <w:b/>
          <w:color w:val="000000"/>
          <w:sz w:val="20"/>
        </w:rPr>
        <w:t>17. Какие поля содержит каркас диаграммы?</w:t>
      </w:r>
    </w:p>
    <w:p>
      <w:pPr>
        <w:keepLines/>
        <w:spacing w:before="0" w:after="60" w:line="276" w:lineRule="auto"/>
        <w:ind w:firstLine="567"/>
      </w:pPr>
      <w:r>
        <w:rPr>
          <w:rFonts w:ascii="Times New Roman" w:hAnsi="Times New Roman" w:eastAsia="Times New Roman"/>
          <w:b w:val="0"/>
          <w:color w:val="000000"/>
          <w:sz w:val="20"/>
        </w:rPr>
        <w:t>Каркас содержит USED AT, AUTHOR, PROJECT, DATE, REV, NODE, TITLE и NUMBER. Они позволяют идентифицировать диаграмму и её версию.</w:t>
      </w:r>
    </w:p>
    <w:p>
      <w:pPr>
        <w:keepNext/>
        <w:spacing w:before="60" w:after="20" w:line="276" w:lineRule="auto"/>
      </w:pPr>
      <w:r>
        <w:rPr>
          <w:rFonts w:ascii="Times New Roman" w:hAnsi="Times New Roman" w:eastAsia="Times New Roman"/>
          <w:b/>
          <w:color w:val="000000"/>
          <w:sz w:val="20"/>
        </w:rPr>
        <w:t>18. Почему модель хранят в Git?</w:t>
      </w:r>
    </w:p>
    <w:p>
      <w:pPr>
        <w:keepLines/>
        <w:spacing w:before="0" w:after="60" w:line="276" w:lineRule="auto"/>
        <w:ind w:firstLine="567"/>
      </w:pPr>
      <w:r>
        <w:rPr>
          <w:rFonts w:ascii="Times New Roman" w:hAnsi="Times New Roman" w:eastAsia="Times New Roman"/>
          <w:b w:val="0"/>
          <w:color w:val="000000"/>
          <w:sz w:val="20"/>
        </w:rPr>
        <w:t>Файл drawio является XML-документом. Git хранит историю правок, позволяет сравнивать версии и возвращаться к предыдущему варианту модели.</w:t>
      </w:r>
    </w:p>
    <w:p>
      <w:pPr>
        <w:spacing w:before="240" w:after="100"/>
      </w:pPr>
      <w:r>
        <w:rPr>
          <w:rFonts w:ascii="Times New Roman" w:hAnsi="Times New Roman" w:eastAsia="Times New Roman"/>
          <w:b/>
          <w:color w:val="000000"/>
          <w:sz w:val="30"/>
        </w:rPr>
        <w:t>Вывод</w:t>
      </w:r>
    </w:p>
    <w:p>
      <w:pPr>
        <w:spacing w:before="0" w:after="120" w:line="276" w:lineRule="auto"/>
        <w:ind w:firstLine="567"/>
      </w:pPr>
      <w:r>
        <w:rPr>
          <w:rFonts w:ascii="Times New Roman" w:hAnsi="Times New Roman" w:eastAsia="Times New Roman"/>
          <w:b w:val="0"/>
          <w:color w:val="000000"/>
          <w:sz w:val="24"/>
        </w:rPr>
        <w:t>Построенная модель разделяет учёт выдачи и возврата на проверку заявки, регистрацию выдачи, регистрацию возврата и формирование уведомлений и отчётов. Между работами передаются решение по заявке W1, запись выдачи W2 и сведения о просрочке W3. Исходная модель сохранена в формате drawio, диаграммы экспортированы в PNG.</w:t>
      </w:r>
    </w:p>
    <w:sectPr w:rsidR="00FC693F" w:rsidRPr="0006063C" w:rsidSect="00034616">
      <w:footerReference w:type="default" r:id="rId14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000000"/>
        <w:sz w:val="18"/>
      </w:rPr>
      <w:t>Лабораторная работа IDEF0, вариант 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