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№выаыв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выа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ывав,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ываыв, в лице выаыва, действующего на основании ываыва,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ываыва (##сумма_прописью##)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ыаыва</w:t>
      </w:r>
    </w:p>
    <w:p w14:paraId="36295E7C" w14:textId="77777777" w:rsidR="00DC3690" w:rsidRDefault="00DC3690" w:rsidP="00DC3690">
      <w:r>
        <w:t>Телефон: ываыва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выаыва</w:t>
      </w:r>
    </w:p>
    <w:p w14:paraId="2FEBD32B" w14:textId="1D6FF4FF" w:rsidR="00BB6E21" w:rsidRDefault="00DC3690" w:rsidP="00DC3690">
      <w:r>
        <w:t>Телефон: выавыа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