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№fgh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gfh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fgh,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gfh, в лице fgh, действующего на основании fgh,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gfh (gfh)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fgh</w:t>
      </w:r>
    </w:p>
    <w:p w14:paraId="36295E7C" w14:textId="77777777" w:rsidR="00DC3690" w:rsidRDefault="00DC3690" w:rsidP="00DC3690">
      <w:r>
        <w:t>Телефон: fgh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ffgh</w:t>
      </w:r>
    </w:p>
    <w:p w14:paraId="2FEBD32B" w14:textId="1D6FF4FF" w:rsidR="00BB6E21" w:rsidRDefault="00DC3690" w:rsidP="00DC3690">
      <w:r>
        <w:t>Телефон: fghfgh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