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№dfg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fdg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dfg,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dfg, в лице fdg, действующего на основании fdg,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fdg (dfg)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dfg</w:t>
      </w:r>
    </w:p>
    <w:p w14:paraId="36295E7C" w14:textId="77777777" w:rsidR="00DC3690" w:rsidRDefault="00DC3690" w:rsidP="00DC3690">
      <w:r>
        <w:t>Телефон: dfg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fdg</w:t>
      </w:r>
    </w:p>
    <w:p w14:paraId="2FEBD32B" w14:textId="1D6FF4FF" w:rsidR="00BB6E21" w:rsidRDefault="00DC3690" w:rsidP="00DC3690">
      <w:r>
        <w:t>Телефон: dfg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