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№фцвф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цфвфв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фцвфцв,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цфвфцв, в лице цфвфц, действующего на основании фцвфцв,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цфвфцв (фцувф)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фцвфцв</w:t>
      </w:r>
    </w:p>
    <w:p w14:paraId="36295E7C" w14:textId="77777777" w:rsidR="00DC3690" w:rsidRDefault="00DC3690" w:rsidP="00DC3690">
      <w:r>
        <w:t>Телефон: фцвфцв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фцвцв</w:t>
      </w:r>
    </w:p>
    <w:p w14:paraId="2FEBD32B" w14:textId="1D6FF4FF" w:rsidR="00BB6E21" w:rsidRDefault="00DC3690" w:rsidP="00DC3690">
      <w:r>
        <w:t>Телефон: фцвфцв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