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F4FAD" w14:textId="70BC0B38" w:rsidR="000F286F" w:rsidRPr="00B84CBE" w:rsidRDefault="000F286F">
      <w:proofErr w:type="spellStart"/>
      <w:r w:rsidRPr="000F286F">
        <w:rPr>
          <w:lang w:val="en-US"/>
        </w:rPr>
        <w:t>Sequelize</w:t>
      </w:r>
      <w:proofErr w:type="spellEnd"/>
      <w:r w:rsidRPr="00B84CBE">
        <w:t xml:space="preserve"> - это </w:t>
      </w:r>
      <w:r w:rsidRPr="000F286F">
        <w:rPr>
          <w:lang w:val="en-US"/>
        </w:rPr>
        <w:t>ORM</w:t>
      </w:r>
      <w:r w:rsidRPr="00B84CBE">
        <w:t xml:space="preserve">-библиотека для приложений на </w:t>
      </w:r>
      <w:r w:rsidRPr="000F286F">
        <w:rPr>
          <w:lang w:val="en-US"/>
        </w:rPr>
        <w:t>Node</w:t>
      </w:r>
      <w:r w:rsidRPr="00B84CBE">
        <w:t>.</w:t>
      </w:r>
      <w:proofErr w:type="spellStart"/>
      <w:r w:rsidRPr="000F286F">
        <w:rPr>
          <w:lang w:val="en-US"/>
        </w:rPr>
        <w:t>js</w:t>
      </w:r>
      <w:proofErr w:type="spellEnd"/>
      <w:r w:rsidRPr="00B84CBE">
        <w:t xml:space="preserve">, которая осуществляет сопоставление таблиц в </w:t>
      </w:r>
      <w:proofErr w:type="spellStart"/>
      <w:r w:rsidRPr="00B84CBE">
        <w:t>бд</w:t>
      </w:r>
      <w:proofErr w:type="spellEnd"/>
      <w:r w:rsidRPr="00B84CBE">
        <w:t xml:space="preserve"> и отношений между ними с классами. При использовании </w:t>
      </w:r>
      <w:proofErr w:type="spellStart"/>
      <w:r w:rsidRPr="000F286F">
        <w:rPr>
          <w:lang w:val="en-US"/>
        </w:rPr>
        <w:t>Sequelize</w:t>
      </w:r>
      <w:proofErr w:type="spellEnd"/>
      <w:r w:rsidRPr="00B84CBE">
        <w:t xml:space="preserve"> мы можем не писать </w:t>
      </w:r>
      <w:r w:rsidRPr="000F286F">
        <w:rPr>
          <w:lang w:val="en-US"/>
        </w:rPr>
        <w:t>SQL</w:t>
      </w:r>
      <w:r w:rsidRPr="00B84CBE">
        <w:t xml:space="preserve">-запросы, а работать с данными как с обычными объектами. Причем </w:t>
      </w:r>
      <w:proofErr w:type="spellStart"/>
      <w:r w:rsidRPr="000F286F">
        <w:rPr>
          <w:lang w:val="en-US"/>
        </w:rPr>
        <w:t>Sequelize</w:t>
      </w:r>
      <w:proofErr w:type="spellEnd"/>
      <w:r w:rsidRPr="00B84CBE">
        <w:t xml:space="preserve"> может работать с рядом СУБД - </w:t>
      </w:r>
      <w:r w:rsidRPr="000F286F">
        <w:rPr>
          <w:lang w:val="en-US"/>
        </w:rPr>
        <w:t>MySQL</w:t>
      </w:r>
      <w:r w:rsidRPr="00B84CBE">
        <w:t xml:space="preserve">, </w:t>
      </w:r>
      <w:proofErr w:type="spellStart"/>
      <w:r w:rsidRPr="000F286F">
        <w:rPr>
          <w:lang w:val="en-US"/>
        </w:rPr>
        <w:t>Postgres</w:t>
      </w:r>
      <w:proofErr w:type="spellEnd"/>
      <w:r w:rsidRPr="00B84CBE">
        <w:t xml:space="preserve">, </w:t>
      </w:r>
      <w:proofErr w:type="spellStart"/>
      <w:r w:rsidRPr="000F286F">
        <w:rPr>
          <w:lang w:val="en-US"/>
        </w:rPr>
        <w:t>MariaDB</w:t>
      </w:r>
      <w:proofErr w:type="spellEnd"/>
      <w:r w:rsidRPr="00B84CBE">
        <w:t xml:space="preserve">, </w:t>
      </w:r>
      <w:r w:rsidRPr="000F286F">
        <w:rPr>
          <w:lang w:val="en-US"/>
        </w:rPr>
        <w:t>SQLite</w:t>
      </w:r>
      <w:r w:rsidRPr="00B84CBE">
        <w:t xml:space="preserve">, </w:t>
      </w:r>
      <w:r w:rsidRPr="000F286F">
        <w:rPr>
          <w:lang w:val="en-US"/>
        </w:rPr>
        <w:t>MS</w:t>
      </w:r>
      <w:r w:rsidRPr="00B84CBE">
        <w:t xml:space="preserve"> </w:t>
      </w:r>
      <w:r w:rsidRPr="000F286F">
        <w:rPr>
          <w:lang w:val="en-US"/>
        </w:rPr>
        <w:t>SQL</w:t>
      </w:r>
      <w:r w:rsidRPr="00B84CBE">
        <w:t xml:space="preserve"> </w:t>
      </w:r>
      <w:r w:rsidRPr="000F286F">
        <w:rPr>
          <w:lang w:val="en-US"/>
        </w:rPr>
        <w:t>Server</w:t>
      </w:r>
      <w:r w:rsidRPr="00B84CBE">
        <w:t>.</w:t>
      </w:r>
    </w:p>
    <w:p w14:paraId="790762B8" w14:textId="2B6324F5" w:rsidR="000F286F" w:rsidRPr="00B84CBE" w:rsidRDefault="000F286F"/>
    <w:p w14:paraId="158D8514" w14:textId="63906B11" w:rsidR="000F286F" w:rsidRDefault="000F28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FD6000" wp14:editId="5AD22199">
            <wp:extent cx="5642234" cy="183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96" cy="18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FDDE" w14:textId="77777777" w:rsidR="000F286F" w:rsidRDefault="000F286F">
      <w:r>
        <w:t xml:space="preserve">Определение моделей: </w:t>
      </w:r>
    </w:p>
    <w:p w14:paraId="417565F8" w14:textId="43768582" w:rsidR="000F286F" w:rsidRDefault="000F286F" w:rsidP="000F286F">
      <w:pPr>
        <w:pStyle w:val="a3"/>
        <w:numPr>
          <w:ilvl w:val="0"/>
          <w:numId w:val="1"/>
        </w:numPr>
        <w:rPr>
          <w:lang w:val="en-US"/>
        </w:rPr>
      </w:pPr>
      <w:r w:rsidRPr="000F286F">
        <w:rPr>
          <w:lang w:val="en-US"/>
        </w:rPr>
        <w:t>define</w:t>
      </w:r>
    </w:p>
    <w:p w14:paraId="34ECA278" w14:textId="7521B20D" w:rsidR="000F286F" w:rsidRDefault="000F286F" w:rsidP="000F286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B8A279" wp14:editId="18F88987">
            <wp:extent cx="5683097" cy="2743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1514" cy="2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EDE2" w14:textId="11C0C6C7" w:rsidR="000F286F" w:rsidRDefault="000F286F" w:rsidP="000F286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7B9594DB" wp14:editId="6F85B996">
            <wp:extent cx="4425950" cy="262245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559" cy="26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85C1" w14:textId="6959E954" w:rsidR="000F286F" w:rsidRDefault="000F286F" w:rsidP="000F286F">
      <w:pPr>
        <w:pStyle w:val="a3"/>
        <w:jc w:val="center"/>
        <w:rPr>
          <w:b/>
        </w:rPr>
      </w:pPr>
      <w:r w:rsidRPr="000F286F">
        <w:rPr>
          <w:b/>
        </w:rPr>
        <w:lastRenderedPageBreak/>
        <w:t>Сопоставление типов</w:t>
      </w:r>
      <w:r>
        <w:br/>
      </w:r>
      <w:r>
        <w:rPr>
          <w:noProof/>
          <w:lang w:eastAsia="ru-RU"/>
        </w:rPr>
        <w:drawing>
          <wp:inline distT="0" distB="0" distL="0" distR="0" wp14:anchorId="167FDBC5" wp14:editId="421EC977">
            <wp:extent cx="2952381" cy="41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6F7" w14:textId="77777777" w:rsidR="00CA0AC1" w:rsidRDefault="00CA0AC1" w:rsidP="000F286F">
      <w:pPr>
        <w:pStyle w:val="a3"/>
        <w:jc w:val="center"/>
        <w:rPr>
          <w:b/>
        </w:rPr>
      </w:pPr>
    </w:p>
    <w:p w14:paraId="779EC440" w14:textId="67864FA4" w:rsidR="00CA0AC1" w:rsidRDefault="00CA0AC1" w:rsidP="00CA0AC1">
      <w:pPr>
        <w:pStyle w:val="a3"/>
      </w:pPr>
      <w:r>
        <w:rPr>
          <w:noProof/>
          <w:lang w:eastAsia="ru-RU"/>
        </w:rPr>
        <w:drawing>
          <wp:inline distT="0" distB="0" distL="0" distR="0" wp14:anchorId="59D3F6FE" wp14:editId="22CC6933">
            <wp:extent cx="5940425" cy="1365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704" cy="13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8FF" w14:textId="6D3AA3F4" w:rsidR="00CA0AC1" w:rsidRDefault="00CA0AC1" w:rsidP="00CA0AC1">
      <w:pPr>
        <w:pStyle w:val="a3"/>
      </w:pPr>
    </w:p>
    <w:p w14:paraId="4DCF73AA" w14:textId="71286683" w:rsidR="00CA0AC1" w:rsidRPr="00CA0AC1" w:rsidRDefault="00CA0AC1" w:rsidP="00CA0AC1">
      <w:pPr>
        <w:pStyle w:val="a3"/>
        <w:rPr>
          <w:lang w:val="en-US"/>
        </w:rPr>
      </w:pPr>
      <w:r>
        <w:rPr>
          <w:lang w:val="en-US"/>
        </w:rPr>
        <w:t>FORCE</w:t>
      </w:r>
    </w:p>
    <w:p w14:paraId="7DB0AF43" w14:textId="6F9E7C2E" w:rsidR="00CA0AC1" w:rsidRDefault="00CA0AC1" w:rsidP="00CA0AC1">
      <w:pPr>
        <w:pStyle w:val="a3"/>
      </w:pPr>
      <w:r>
        <w:rPr>
          <w:noProof/>
          <w:lang w:eastAsia="ru-RU"/>
        </w:rPr>
        <w:drawing>
          <wp:inline distT="0" distB="0" distL="0" distR="0" wp14:anchorId="485067EA" wp14:editId="7BB2D3AD">
            <wp:extent cx="5940425" cy="877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F6D6" w14:textId="0F20289E" w:rsidR="00B84CBE" w:rsidRDefault="00B84CBE" w:rsidP="00CA0AC1">
      <w:pPr>
        <w:pStyle w:val="a3"/>
      </w:pPr>
    </w:p>
    <w:p w14:paraId="52A653F8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51F03A4B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sz w:val="24"/>
          <w:szCs w:val="24"/>
        </w:rPr>
      </w:pPr>
      <w:r w:rsidRPr="007A2A7A">
        <w:rPr>
          <w:rFonts w:ascii="Courier New" w:hAnsi="Courier New" w:cs="Courier New"/>
          <w:b/>
          <w:bCs/>
          <w:sz w:val="24"/>
          <w:szCs w:val="24"/>
        </w:rPr>
        <w:t>ORM (</w:t>
      </w:r>
      <w:proofErr w:type="spellStart"/>
      <w:r w:rsidRPr="007A2A7A">
        <w:rPr>
          <w:rFonts w:ascii="Courier New" w:hAnsi="Courier New" w:cs="Courier New"/>
          <w:b/>
          <w:bCs/>
          <w:sz w:val="24"/>
          <w:szCs w:val="24"/>
        </w:rPr>
        <w:t>Object-Relational</w:t>
      </w:r>
      <w:proofErr w:type="spellEnd"/>
      <w:r w:rsidRPr="007A2A7A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7A2A7A">
        <w:rPr>
          <w:rFonts w:ascii="Courier New" w:hAnsi="Courier New" w:cs="Courier New"/>
          <w:b/>
          <w:bCs/>
          <w:sz w:val="24"/>
          <w:szCs w:val="24"/>
        </w:rPr>
        <w:t>Mapping</w:t>
      </w:r>
      <w:proofErr w:type="spellEnd"/>
      <w:r w:rsidRPr="007A2A7A">
        <w:rPr>
          <w:rFonts w:ascii="Courier New" w:hAnsi="Courier New" w:cs="Courier New"/>
          <w:b/>
          <w:bCs/>
          <w:sz w:val="24"/>
          <w:szCs w:val="24"/>
        </w:rPr>
        <w:t>)</w:t>
      </w:r>
      <w:r w:rsidRPr="007A2A7A">
        <w:rPr>
          <w:rFonts w:ascii="Courier New" w:hAnsi="Courier New" w:cs="Courier New"/>
          <w:sz w:val="24"/>
          <w:szCs w:val="24"/>
        </w:rPr>
        <w:t xml:space="preserve"> –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</w:p>
    <w:p w14:paraId="07F929FD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7CCC811C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2A7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tedious</w:t>
      </w:r>
    </w:p>
    <w:p w14:paraId="4C8203D6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>-схема».</w:t>
      </w:r>
    </w:p>
    <w:p w14:paraId="32D9FB8A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Схема таблиц базы данных на основе объектов</w:t>
      </w:r>
    </w:p>
    <w:p w14:paraId="6F93ABF4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0F38B325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findAll</w:t>
      </w:r>
      <w:proofErr w:type="spellEnd"/>
    </w:p>
    <w:p w14:paraId="0D3D3D87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016E2888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create</w:t>
      </w:r>
    </w:p>
    <w:p w14:paraId="7A159DA1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2A4D1A7C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update</w:t>
      </w:r>
    </w:p>
    <w:p w14:paraId="6AFDC2C3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-запрос?</w:t>
      </w:r>
    </w:p>
    <w:p w14:paraId="2425AA21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7A2A7A">
        <w:rPr>
          <w:rFonts w:ascii="Courier New" w:hAnsi="Courier New" w:cs="Courier New"/>
          <w:b/>
          <w:bCs/>
          <w:sz w:val="28"/>
          <w:szCs w:val="28"/>
          <w:lang w:val="en-US"/>
        </w:rPr>
        <w:t>destroy</w:t>
      </w:r>
    </w:p>
    <w:p w14:paraId="53FC6E0F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4B0E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has</w:t>
      </w:r>
      <w:r>
        <w:rPr>
          <w:rFonts w:ascii="Courier New" w:hAnsi="Courier New" w:cs="Courier New"/>
          <w:b/>
          <w:sz w:val="28"/>
          <w:szCs w:val="28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any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16170686" w14:textId="77777777" w:rsidR="00B84CBE" w:rsidRPr="007A2A7A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 query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0C620AB0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 w:rsidRPr="007A2A7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7A2A7A">
        <w:rPr>
          <w:rFonts w:ascii="Courier New" w:hAnsi="Courier New" w:cs="Courier New"/>
          <w:sz w:val="28"/>
          <w:szCs w:val="28"/>
        </w:rPr>
        <w:t xml:space="preserve">(‘’) – </w:t>
      </w:r>
      <w:r>
        <w:rPr>
          <w:rFonts w:ascii="Courier New" w:hAnsi="Courier New" w:cs="Courier New"/>
          <w:sz w:val="28"/>
          <w:szCs w:val="28"/>
        </w:rPr>
        <w:t xml:space="preserve">запрос на языке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</w:p>
    <w:p w14:paraId="2840CAC5" w14:textId="77777777" w:rsidR="00B84CBE" w:rsidRPr="007A2A7A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8AFB052" w14:textId="77777777" w:rsidR="00B84CBE" w:rsidRPr="007A2A7A" w:rsidRDefault="00B84CBE" w:rsidP="00B84CB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Сначала создается код схемы для создания </w:t>
      </w:r>
      <w:proofErr w:type="spellStart"/>
      <w:r>
        <w:rPr>
          <w:rFonts w:ascii="Courier New" w:hAnsi="Courier New" w:cs="Courier New"/>
          <w:sz w:val="28"/>
          <w:szCs w:val="28"/>
        </w:rPr>
        <w:t>бд</w:t>
      </w:r>
      <w:proofErr w:type="spellEnd"/>
    </w:p>
    <w:p w14:paraId="670C21F0" w14:textId="77777777" w:rsidR="00B84CBE" w:rsidRDefault="00B84CBE" w:rsidP="00B84CBE">
      <w:pPr>
        <w:pStyle w:val="a3"/>
        <w:numPr>
          <w:ilvl w:val="0"/>
          <w:numId w:val="2"/>
        </w:numPr>
        <w:spacing w:line="256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«транзакция». </w:t>
      </w:r>
    </w:p>
    <w:p w14:paraId="577EE075" w14:textId="77777777" w:rsidR="00B84CBE" w:rsidRPr="007A2A7A" w:rsidRDefault="00B84CBE" w:rsidP="00B84CBE">
      <w:pPr>
        <w:pStyle w:val="a3"/>
        <w:ind w:left="284"/>
        <w:jc w:val="both"/>
      </w:pPr>
      <w:r>
        <w:rPr>
          <w:rFonts w:ascii="Courier New" w:hAnsi="Courier New" w:cs="Courier New"/>
          <w:sz w:val="28"/>
          <w:szCs w:val="28"/>
        </w:rPr>
        <w:t xml:space="preserve">Набор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sql</w:t>
      </w:r>
      <w:proofErr w:type="spellEnd"/>
      <w:r w:rsidRPr="007A2A7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команд, которые все однозначно выполняются</w:t>
      </w:r>
    </w:p>
    <w:p w14:paraId="3975D467" w14:textId="77777777" w:rsidR="00B84CBE" w:rsidRDefault="00B84CBE" w:rsidP="00B84CBE"/>
    <w:p w14:paraId="5FC2E3B4" w14:textId="77777777" w:rsidR="00B84CBE" w:rsidRPr="00CA0AC1" w:rsidRDefault="00B84CBE" w:rsidP="00CA0AC1">
      <w:pPr>
        <w:pStyle w:val="a3"/>
      </w:pPr>
      <w:bookmarkStart w:id="0" w:name="_GoBack"/>
      <w:bookmarkEnd w:id="0"/>
    </w:p>
    <w:sectPr w:rsidR="00B84CBE" w:rsidRPr="00CA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71F9"/>
    <w:multiLevelType w:val="hybridMultilevel"/>
    <w:tmpl w:val="C8DC1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C3"/>
    <w:rsid w:val="000F286F"/>
    <w:rsid w:val="002A475C"/>
    <w:rsid w:val="006C7C3D"/>
    <w:rsid w:val="00B84CBE"/>
    <w:rsid w:val="00CA0AC1"/>
    <w:rsid w:val="00D3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734B"/>
  <w15:chartTrackingRefBased/>
  <w15:docId w15:val="{C956BAB4-68A0-4C74-BF6D-D388E5A4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Стальмашенко</dc:creator>
  <cp:keywords/>
  <dc:description/>
  <cp:lastModifiedBy>ROMAX</cp:lastModifiedBy>
  <cp:revision>4</cp:revision>
  <dcterms:created xsi:type="dcterms:W3CDTF">2020-06-14T09:50:00Z</dcterms:created>
  <dcterms:modified xsi:type="dcterms:W3CDTF">2020-06-14T10:09:00Z</dcterms:modified>
</cp:coreProperties>
</file>