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Функции </w:t>
      </w:r>
      <w:r w:rsidRPr="009E1156">
        <w:rPr>
          <w:rFonts w:ascii="Arial" w:eastAsia="Times New Roman" w:hAnsi="Arial" w:cs="Arial"/>
          <w:b/>
          <w:bCs/>
          <w:i/>
          <w:iCs/>
          <w:color w:val="353535"/>
          <w:sz w:val="21"/>
          <w:szCs w:val="21"/>
          <w:lang w:eastAsia="ru-RU"/>
        </w:rPr>
        <w:t>промежуточной обработки</w:t>
      </w: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(</w:t>
      </w:r>
      <w:proofErr w:type="spellStart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middleware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) - это функции, имеющие доступ к </w:t>
      </w:r>
      <w:hyperlink r:id="rId5" w:anchor="req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объекту запроса</w:t>
        </w:r>
      </w:hyperlink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(</w:t>
      </w:r>
      <w:proofErr w:type="spell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req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), </w:t>
      </w:r>
      <w:hyperlink r:id="rId6" w:anchor="res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объекту ответа</w:t>
        </w:r>
      </w:hyperlink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(</w:t>
      </w:r>
      <w:proofErr w:type="spell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res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) и к следующей функции промежуточной обработки в цикле “запрос-ответ” приложения. Следующая функция промежуточной обработки, как правило, обозначается переменной </w:t>
      </w:r>
      <w:proofErr w:type="spell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.</w:t>
      </w:r>
    </w:p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Функции промежуточной обработки могут выполнять следующие задачи: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Выполнение любого кода.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Внесение изменений в объекты запросов и ответов.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Завершение цикла “запрос-ответ”.</w:t>
      </w:r>
    </w:p>
    <w:p w:rsidR="009E1156" w:rsidRPr="009E1156" w:rsidRDefault="009E1156" w:rsidP="009E115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Вызов следующей функции промежуточной обработки из стека.</w:t>
      </w:r>
    </w:p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Если текущая функция промежуточной обработки не завершает цикл “запрос-ответ”, она должна вызвать </w:t>
      </w:r>
      <w:proofErr w:type="spellStart"/>
      <w:proofErr w:type="gramStart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</w:t>
      </w:r>
      <w:proofErr w:type="spellEnd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9E1156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 для передачи управления следующей функции промежуточной обработки. В противном случае запрос зависнет.</w:t>
      </w:r>
    </w:p>
    <w:p w:rsid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Приложение </w:t>
      </w:r>
      <w:proofErr w:type="spellStart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Express</w:t>
      </w:r>
      <w:proofErr w:type="spellEnd"/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 xml:space="preserve"> может использовать следующие типы промежуточных обработчиков:</w:t>
      </w:r>
      <w:bookmarkStart w:id="0" w:name="_GoBack"/>
      <w:bookmarkEnd w:id="0"/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7" w:anchor="middleware.application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Промежуточный обработчик уровня приложения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8" w:anchor="middleware.router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Промежуточный обработчик уровня маршрутизатора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9" w:anchor="middleware.error-handling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Промежуточный обработчик для обработки ошибок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10" w:anchor="middleware.built-in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Встроенные промежуточные обработчики</w:t>
        </w:r>
      </w:hyperlink>
    </w:p>
    <w:p w:rsidR="009E1156" w:rsidRPr="009E1156" w:rsidRDefault="009E1156" w:rsidP="009E1156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hyperlink r:id="rId11" w:anchor="middleware.third-party" w:history="1">
        <w:r w:rsidRPr="009E1156">
          <w:rPr>
            <w:rFonts w:ascii="Arial" w:eastAsia="Times New Roman" w:hAnsi="Arial" w:cs="Arial"/>
            <w:color w:val="259DFF"/>
            <w:sz w:val="21"/>
            <w:szCs w:val="21"/>
            <w:u w:val="single"/>
            <w:lang w:eastAsia="ru-RU"/>
          </w:rPr>
          <w:t>Промежуточные обработчики сторонних поставщиков ПО</w:t>
        </w:r>
      </w:hyperlink>
    </w:p>
    <w:p w:rsidR="009E1156" w:rsidRPr="009E1156" w:rsidRDefault="009E1156" w:rsidP="009E1156">
      <w:pPr>
        <w:spacing w:before="150" w:after="150" w:line="324" w:lineRule="atLeast"/>
        <w:jc w:val="left"/>
        <w:rPr>
          <w:rFonts w:ascii="Arial" w:eastAsia="Times New Roman" w:hAnsi="Arial" w:cs="Arial"/>
          <w:color w:val="555555"/>
          <w:sz w:val="21"/>
          <w:szCs w:val="21"/>
          <w:lang w:eastAsia="ru-RU"/>
        </w:rPr>
      </w:pPr>
      <w:r w:rsidRPr="009E1156">
        <w:rPr>
          <w:rFonts w:ascii="Arial" w:eastAsia="Times New Roman" w:hAnsi="Arial" w:cs="Arial"/>
          <w:color w:val="555555"/>
          <w:sz w:val="21"/>
          <w:szCs w:val="21"/>
          <w:lang w:eastAsia="ru-RU"/>
        </w:rPr>
        <w:t>https://expressjs.com/ru/guide/using-middleware.html</w:t>
      </w:r>
    </w:p>
    <w:p w:rsidR="007B20A5" w:rsidRDefault="007B20A5"/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0AD0"/>
    <w:multiLevelType w:val="multilevel"/>
    <w:tmpl w:val="ED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71070"/>
    <w:multiLevelType w:val="multilevel"/>
    <w:tmpl w:val="B174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C"/>
    <w:rsid w:val="00342C5C"/>
    <w:rsid w:val="007B20A5"/>
    <w:rsid w:val="008D7561"/>
    <w:rsid w:val="00982B0A"/>
    <w:rsid w:val="009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B016"/>
  <w15:chartTrackingRefBased/>
  <w15:docId w15:val="{F5DD5161-42FB-4610-96FB-71347B97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156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1156"/>
    <w:rPr>
      <w:i/>
      <w:iCs/>
    </w:rPr>
  </w:style>
  <w:style w:type="character" w:styleId="a5">
    <w:name w:val="Hyperlink"/>
    <w:basedOn w:val="a0"/>
    <w:uiPriority w:val="99"/>
    <w:semiHidden/>
    <w:unhideWhenUsed/>
    <w:rsid w:val="009E11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E1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ru/guide/using-middlewa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ressjs.com/ru/guide/using-middlewar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ressjs.com/ru/4x/api.html" TargetMode="External"/><Relationship Id="rId11" Type="http://schemas.openxmlformats.org/officeDocument/2006/relationships/hyperlink" Target="https://expressjs.com/ru/guide/using-middleware.html" TargetMode="External"/><Relationship Id="rId5" Type="http://schemas.openxmlformats.org/officeDocument/2006/relationships/hyperlink" Target="https://expressjs.com/ru/4x/api.html" TargetMode="External"/><Relationship Id="rId10" Type="http://schemas.openxmlformats.org/officeDocument/2006/relationships/hyperlink" Target="https://expressjs.com/ru/guide/using-middlewa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ressjs.com/ru/guide/using-middlewa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</cp:revision>
  <dcterms:created xsi:type="dcterms:W3CDTF">2020-06-14T10:32:00Z</dcterms:created>
  <dcterms:modified xsi:type="dcterms:W3CDTF">2020-06-14T10:34:00Z</dcterms:modified>
</cp:coreProperties>
</file>